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spacing w:line="720" w:lineRule="exact"/>
        <w:jc w:val="center"/>
        <w:rPr>
          <w:rFonts w:ascii="宋体" w:hAnsi="宋体"/>
          <w:b/>
          <w:sz w:val="48"/>
          <w:szCs w:val="48"/>
        </w:rPr>
      </w:pPr>
      <w:r>
        <w:rPr>
          <w:rFonts w:hint="eastAsia" w:ascii="宋体" w:hAnsi="宋体"/>
          <w:b/>
          <w:sz w:val="48"/>
          <w:szCs w:val="48"/>
        </w:rPr>
        <w:t>辽宁现代服务职业技术学院</w:t>
      </w:r>
    </w:p>
    <w:p>
      <w:pPr>
        <w:spacing w:line="720" w:lineRule="exact"/>
        <w:jc w:val="center"/>
        <w:rPr>
          <w:sz w:val="48"/>
          <w:szCs w:val="48"/>
        </w:rPr>
      </w:pPr>
      <w:r>
        <w:rPr>
          <w:rFonts w:hint="eastAsia" w:ascii="黑体" w:hAnsi="宋体" w:eastAsia="黑体"/>
          <w:b/>
          <w:sz w:val="48"/>
          <w:szCs w:val="48"/>
        </w:rPr>
        <w:t>金融应用科技专业人才培养方案</w:t>
      </w: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spacing w:line="520" w:lineRule="exact"/>
        <w:ind w:firstLine="1807" w:firstLineChars="600"/>
        <w:rPr>
          <w:rFonts w:ascii="宋体" w:hAnsi="宋体"/>
          <w:b/>
          <w:sz w:val="30"/>
          <w:szCs w:val="30"/>
          <w:u w:val="single"/>
        </w:rPr>
      </w:pPr>
      <w:r>
        <w:rPr>
          <w:rFonts w:hint="eastAsia" w:ascii="宋体" w:hAnsi="宋体"/>
          <w:b/>
          <w:sz w:val="30"/>
          <w:szCs w:val="30"/>
        </w:rPr>
        <w:t>执  笔  教  师：</w:t>
      </w:r>
      <w:r>
        <w:rPr>
          <w:rFonts w:hint="eastAsia" w:ascii="楷体_GB2312" w:hAnsi="宋体" w:eastAsia="楷体_GB2312"/>
          <w:b/>
          <w:sz w:val="30"/>
          <w:szCs w:val="30"/>
          <w:u w:val="single"/>
        </w:rPr>
        <w:t xml:space="preserve">      刘杨          </w:t>
      </w:r>
    </w:p>
    <w:p>
      <w:pPr>
        <w:spacing w:line="520" w:lineRule="exact"/>
        <w:ind w:firstLine="1807" w:firstLineChars="600"/>
        <w:rPr>
          <w:rFonts w:ascii="宋体" w:hAnsi="宋体"/>
          <w:b/>
          <w:sz w:val="30"/>
          <w:szCs w:val="30"/>
          <w:u w:val="single"/>
        </w:rPr>
      </w:pPr>
      <w:r>
        <w:rPr>
          <w:rFonts w:hint="eastAsia" w:ascii="宋体" w:hAnsi="宋体"/>
          <w:b/>
          <w:sz w:val="30"/>
          <w:szCs w:val="30"/>
        </w:rPr>
        <w:t>制（修）订单位：</w:t>
      </w:r>
      <w:r>
        <w:rPr>
          <w:rFonts w:hint="eastAsia" w:ascii="楷体_GB2312" w:hAnsi="宋体" w:eastAsia="楷体_GB2312"/>
          <w:b/>
          <w:sz w:val="30"/>
          <w:szCs w:val="30"/>
          <w:u w:val="single"/>
        </w:rPr>
        <w:t xml:space="preserve">                    </w:t>
      </w:r>
    </w:p>
    <w:p>
      <w:pPr>
        <w:spacing w:line="520" w:lineRule="exact"/>
        <w:ind w:firstLine="1807" w:firstLineChars="600"/>
        <w:rPr>
          <w:rFonts w:ascii="楷体_GB2312" w:hAnsi="宋体" w:eastAsia="楷体_GB2312"/>
          <w:b/>
          <w:sz w:val="30"/>
          <w:szCs w:val="30"/>
          <w:u w:val="single"/>
        </w:rPr>
      </w:pPr>
      <w:r>
        <w:rPr>
          <w:rFonts w:hint="eastAsia" w:ascii="宋体" w:hAnsi="宋体"/>
          <w:b/>
          <w:sz w:val="30"/>
          <w:szCs w:val="30"/>
        </w:rPr>
        <w:t>制（修）订日期：</w:t>
      </w:r>
      <w:r>
        <w:rPr>
          <w:rFonts w:hint="eastAsia" w:ascii="楷体_GB2312" w:hAnsi="宋体" w:eastAsia="楷体_GB2312"/>
          <w:b/>
          <w:sz w:val="30"/>
          <w:szCs w:val="30"/>
          <w:u w:val="single"/>
        </w:rPr>
        <w:t xml:space="preserve">                    </w:t>
      </w:r>
    </w:p>
    <w:p>
      <w:pPr>
        <w:spacing w:line="520" w:lineRule="exact"/>
        <w:ind w:firstLine="1807" w:firstLineChars="600"/>
        <w:rPr>
          <w:rFonts w:ascii="宋体" w:hAnsi="宋体"/>
          <w:b/>
          <w:sz w:val="30"/>
          <w:szCs w:val="30"/>
          <w:u w:val="single"/>
        </w:rPr>
      </w:pPr>
      <w:r>
        <w:rPr>
          <w:rFonts w:hint="eastAsia" w:ascii="宋体" w:hAnsi="宋体"/>
          <w:b/>
          <w:sz w:val="30"/>
          <w:szCs w:val="30"/>
        </w:rPr>
        <w:t>教 研 室 初 审：</w:t>
      </w:r>
      <w:r>
        <w:rPr>
          <w:rFonts w:hint="eastAsia" w:ascii="楷体_GB2312" w:hAnsi="宋体" w:eastAsia="楷体_GB2312"/>
          <w:b/>
          <w:sz w:val="30"/>
          <w:szCs w:val="30"/>
          <w:u w:val="single"/>
        </w:rPr>
        <w:t xml:space="preserve">                    </w:t>
      </w:r>
    </w:p>
    <w:p>
      <w:pPr>
        <w:spacing w:line="520" w:lineRule="exact"/>
        <w:ind w:firstLine="1807" w:firstLineChars="600"/>
        <w:rPr>
          <w:rFonts w:ascii="楷体_GB2312" w:hAnsi="宋体" w:eastAsia="楷体_GB2312"/>
          <w:b/>
          <w:sz w:val="30"/>
          <w:szCs w:val="30"/>
          <w:u w:val="single"/>
        </w:rPr>
      </w:pPr>
      <w:r>
        <w:rPr>
          <w:rFonts w:hint="eastAsia" w:ascii="宋体" w:hAnsi="宋体"/>
          <w:b/>
          <w:sz w:val="30"/>
          <w:szCs w:val="30"/>
        </w:rPr>
        <w:t>二级院（部）审  核：</w:t>
      </w:r>
      <w:r>
        <w:rPr>
          <w:rFonts w:hint="eastAsia" w:ascii="楷体_GB2312" w:hAnsi="宋体" w:eastAsia="楷体_GB2312"/>
          <w:b/>
          <w:sz w:val="30"/>
          <w:szCs w:val="30"/>
          <w:u w:val="single"/>
        </w:rPr>
        <w:t xml:space="preserve">                </w:t>
      </w:r>
    </w:p>
    <w:p>
      <w:pPr>
        <w:spacing w:line="520" w:lineRule="exact"/>
        <w:ind w:firstLine="1795" w:firstLineChars="596"/>
        <w:rPr>
          <w:b/>
          <w:sz w:val="24"/>
        </w:rPr>
      </w:pPr>
      <w:r>
        <w:rPr>
          <w:rFonts w:hint="eastAsia" w:ascii="宋体" w:hAnsi="宋体"/>
          <w:b/>
          <w:sz w:val="30"/>
          <w:szCs w:val="30"/>
        </w:rPr>
        <w:t>学  院  审  定：</w:t>
      </w:r>
      <w:r>
        <w:rPr>
          <w:rFonts w:hint="eastAsia" w:ascii="楷体_GB2312" w:hAnsi="宋体" w:eastAsia="楷体_GB2312"/>
          <w:b/>
          <w:sz w:val="30"/>
          <w:szCs w:val="30"/>
          <w:u w:val="single"/>
        </w:rPr>
        <w:t xml:space="preserve">                    </w:t>
      </w:r>
    </w:p>
    <w:p>
      <w:pPr>
        <w:jc w:val="center"/>
        <w:rPr>
          <w:b/>
          <w:sz w:val="24"/>
        </w:rPr>
      </w:pPr>
    </w:p>
    <w:p>
      <w:pPr>
        <w:jc w:val="center"/>
        <w:rPr>
          <w:b/>
          <w:sz w:val="24"/>
        </w:rPr>
      </w:pPr>
    </w:p>
    <w:p/>
    <w:p>
      <w:pPr>
        <w:jc w:val="center"/>
        <w:sectPr>
          <w:headerReference r:id="rId3" w:type="first"/>
          <w:footerReference r:id="rId6" w:type="first"/>
          <w:footerReference r:id="rId4" w:type="default"/>
          <w:footerReference r:id="rId5" w:type="even"/>
          <w:pgSz w:w="11906" w:h="16838"/>
          <w:pgMar w:top="1701" w:right="1361" w:bottom="1247" w:left="1701" w:header="851" w:footer="992" w:gutter="0"/>
          <w:pgNumType w:start="0"/>
          <w:cols w:space="720" w:num="1"/>
          <w:titlePg/>
          <w:docGrid w:type="lines" w:linePitch="312" w:charSpace="0"/>
        </w:sectPr>
      </w:pPr>
    </w:p>
    <w:p>
      <w:pPr>
        <w:pStyle w:val="43"/>
        <w:jc w:val="center"/>
        <w:rPr>
          <w:rFonts w:ascii="黑体" w:hAnsi="黑体" w:eastAsia="黑体"/>
          <w:color w:val="000000"/>
        </w:rPr>
      </w:pPr>
      <w:r>
        <w:rPr>
          <w:rFonts w:ascii="黑体" w:hAnsi="黑体" w:eastAsia="黑体"/>
          <w:color w:val="000000"/>
          <w:lang w:val="zh-CN"/>
        </w:rPr>
        <w:t>目</w:t>
      </w:r>
      <w:r>
        <w:rPr>
          <w:rFonts w:hint="eastAsia" w:ascii="黑体" w:hAnsi="黑体" w:eastAsia="黑体"/>
          <w:color w:val="000000"/>
          <w:lang w:val="zh-CN"/>
        </w:rPr>
        <w:t xml:space="preserve">  </w:t>
      </w:r>
      <w:r>
        <w:rPr>
          <w:rFonts w:ascii="黑体" w:hAnsi="黑体" w:eastAsia="黑体"/>
          <w:color w:val="000000"/>
          <w:lang w:val="zh-CN"/>
        </w:rPr>
        <w:t>录</w:t>
      </w:r>
    </w:p>
    <w:p>
      <w:pPr>
        <w:pStyle w:val="17"/>
        <w:tabs>
          <w:tab w:val="right" w:leader="dot" w:pos="8834"/>
        </w:tabs>
        <w:rPr>
          <w:rFonts w:asciiTheme="minorHAnsi" w:hAnsiTheme="minorHAnsi" w:eastAsiaTheme="minorEastAsia" w:cstheme="minorBidi"/>
          <w:kern w:val="2"/>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"_Toc78431495" </w:instrText>
      </w:r>
      <w:r>
        <w:fldChar w:fldCharType="separate"/>
      </w:r>
      <w:r>
        <w:rPr>
          <w:rStyle w:val="32"/>
          <w:rFonts w:ascii="黑体" w:eastAsia="黑体"/>
        </w:rPr>
        <w:t>第一部分：专业设置与办学定位</w:t>
      </w:r>
      <w:r>
        <w:tab/>
      </w:r>
      <w:r>
        <w:fldChar w:fldCharType="begin"/>
      </w:r>
      <w:r>
        <w:instrText xml:space="preserve"> PAGEREF _Toc78431495 \h </w:instrText>
      </w:r>
      <w:r>
        <w:fldChar w:fldCharType="separate"/>
      </w:r>
      <w:r>
        <w:t>1</w:t>
      </w:r>
      <w:r>
        <w:fldChar w:fldCharType="end"/>
      </w:r>
      <w:r>
        <w:fldChar w:fldCharType="end"/>
      </w:r>
    </w:p>
    <w:p>
      <w:pPr>
        <w:pStyle w:val="21"/>
        <w:tabs>
          <w:tab w:val="right" w:leader="dot" w:pos="8834"/>
        </w:tabs>
        <w:rPr>
          <w:rFonts w:asciiTheme="minorHAnsi" w:hAnsiTheme="minorHAnsi" w:eastAsiaTheme="minorEastAsia" w:cstheme="minorBidi"/>
          <w:kern w:val="2"/>
          <w:sz w:val="21"/>
        </w:rPr>
      </w:pPr>
      <w:r>
        <w:fldChar w:fldCharType="begin"/>
      </w:r>
      <w:r>
        <w:instrText xml:space="preserve"> HYPERLINK \l "_Toc78431496" </w:instrText>
      </w:r>
      <w:r>
        <w:fldChar w:fldCharType="separate"/>
      </w:r>
      <w:r>
        <w:rPr>
          <w:rStyle w:val="32"/>
          <w:rFonts w:ascii="黑体" w:eastAsia="黑体"/>
        </w:rPr>
        <w:t>一、专业类别归属</w:t>
      </w:r>
      <w:r>
        <w:tab/>
      </w:r>
      <w:r>
        <w:fldChar w:fldCharType="begin"/>
      </w:r>
      <w:r>
        <w:instrText xml:space="preserve"> PAGEREF _Toc78431496 \h </w:instrText>
      </w:r>
      <w:r>
        <w:fldChar w:fldCharType="separate"/>
      </w:r>
      <w:r>
        <w:t>1</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"_Toc78431497" </w:instrText>
      </w:r>
      <w:r>
        <w:fldChar w:fldCharType="separate"/>
      </w:r>
      <w:r>
        <w:rPr>
          <w:rStyle w:val="32"/>
          <w:rFonts w:ascii="楷体_GB2312" w:eastAsia="楷体_GB2312"/>
        </w:rPr>
        <w:t>（一）专业归属类别</w:t>
      </w:r>
      <w:r>
        <w:tab/>
      </w:r>
      <w:r>
        <w:fldChar w:fldCharType="begin"/>
      </w:r>
      <w:r>
        <w:instrText xml:space="preserve"> PAGEREF _Toc78431497 \h </w:instrText>
      </w:r>
      <w:r>
        <w:fldChar w:fldCharType="separate"/>
      </w:r>
      <w:r>
        <w:t>1</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"_Toc78431498" </w:instrText>
      </w:r>
      <w:r>
        <w:fldChar w:fldCharType="separate"/>
      </w:r>
      <w:r>
        <w:rPr>
          <w:rStyle w:val="32"/>
        </w:rPr>
        <w:t>（二）人才培养目标和人才规格定位</w:t>
      </w:r>
      <w:r>
        <w:tab/>
      </w:r>
      <w:r>
        <w:fldChar w:fldCharType="begin"/>
      </w:r>
      <w:r>
        <w:instrText xml:space="preserve"> PAGEREF _Toc78431498 \h </w:instrText>
      </w:r>
      <w:r>
        <w:fldChar w:fldCharType="separate"/>
      </w:r>
      <w:r>
        <w:t>1</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"_Toc78431499" </w:instrText>
      </w:r>
      <w:r>
        <w:fldChar w:fldCharType="separate"/>
      </w:r>
      <w:r>
        <w:rPr>
          <w:rStyle w:val="32"/>
        </w:rPr>
        <w:t>（三）专业的框架设置</w:t>
      </w:r>
      <w:r>
        <w:tab/>
      </w:r>
      <w:r>
        <w:fldChar w:fldCharType="begin"/>
      </w:r>
      <w:r>
        <w:instrText xml:space="preserve"> PAGEREF _Toc78431499 \h </w:instrText>
      </w:r>
      <w:r>
        <w:fldChar w:fldCharType="separate"/>
      </w:r>
      <w:r>
        <w:t>2</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"_Toc78431500" </w:instrText>
      </w:r>
      <w:r>
        <w:fldChar w:fldCharType="separate"/>
      </w:r>
      <w:r>
        <w:rPr>
          <w:rStyle w:val="32"/>
        </w:rPr>
        <w:t>（四）开设的课程</w:t>
      </w:r>
      <w:r>
        <w:tab/>
      </w:r>
      <w:r>
        <w:fldChar w:fldCharType="begin"/>
      </w:r>
      <w:r>
        <w:instrText xml:space="preserve"> PAGEREF _Toc78431500 \h </w:instrText>
      </w:r>
      <w:r>
        <w:fldChar w:fldCharType="separate"/>
      </w:r>
      <w:r>
        <w:t>2</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"_Toc78431501" </w:instrText>
      </w:r>
      <w:r>
        <w:fldChar w:fldCharType="separate"/>
      </w:r>
      <w:r>
        <w:rPr>
          <w:rStyle w:val="32"/>
        </w:rPr>
        <w:t>（五）知识素质体系要求</w:t>
      </w:r>
      <w:r>
        <w:tab/>
      </w:r>
      <w:r>
        <w:fldChar w:fldCharType="begin"/>
      </w:r>
      <w:r>
        <w:instrText xml:space="preserve"> PAGEREF _Toc78431501 \h </w:instrText>
      </w:r>
      <w:r>
        <w:fldChar w:fldCharType="separate"/>
      </w:r>
      <w:r>
        <w:t>2</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"_Toc78431502" </w:instrText>
      </w:r>
      <w:r>
        <w:fldChar w:fldCharType="separate"/>
      </w:r>
      <w:r>
        <w:rPr>
          <w:rStyle w:val="32"/>
        </w:rPr>
        <w:t>（六）专业建设的指导意见</w:t>
      </w:r>
      <w:r>
        <w:tab/>
      </w:r>
      <w:r>
        <w:fldChar w:fldCharType="begin"/>
      </w:r>
      <w:r>
        <w:instrText xml:space="preserve"> PAGEREF _Toc78431502 \h </w:instrText>
      </w:r>
      <w:r>
        <w:fldChar w:fldCharType="separate"/>
      </w:r>
      <w:r>
        <w:t>4</w:t>
      </w:r>
      <w:r>
        <w:fldChar w:fldCharType="end"/>
      </w:r>
      <w:r>
        <w:fldChar w:fldCharType="end"/>
      </w:r>
    </w:p>
    <w:p>
      <w:pPr>
        <w:pStyle w:val="21"/>
        <w:tabs>
          <w:tab w:val="right" w:leader="dot" w:pos="8834"/>
        </w:tabs>
        <w:rPr>
          <w:rFonts w:asciiTheme="minorHAnsi" w:hAnsiTheme="minorHAnsi" w:eastAsiaTheme="minorEastAsia" w:cstheme="minorBidi"/>
          <w:kern w:val="2"/>
          <w:sz w:val="21"/>
        </w:rPr>
      </w:pPr>
      <w:r>
        <w:fldChar w:fldCharType="begin"/>
      </w:r>
      <w:r>
        <w:instrText xml:space="preserve"> HYPERLINK \l "_Toc78431503" </w:instrText>
      </w:r>
      <w:r>
        <w:fldChar w:fldCharType="separate"/>
      </w:r>
      <w:r>
        <w:rPr>
          <w:rStyle w:val="32"/>
          <w:rFonts w:ascii="黑体" w:hAnsi="黑体" w:eastAsia="黑体"/>
        </w:rPr>
        <w:t>二、办学层次定位</w:t>
      </w:r>
      <w:r>
        <w:tab/>
      </w:r>
      <w:r>
        <w:fldChar w:fldCharType="begin"/>
      </w:r>
      <w:r>
        <w:instrText xml:space="preserve"> PAGEREF _Toc78431503 \h </w:instrText>
      </w:r>
      <w:r>
        <w:fldChar w:fldCharType="separate"/>
      </w:r>
      <w:r>
        <w:t>5</w:t>
      </w:r>
      <w:r>
        <w:fldChar w:fldCharType="end"/>
      </w:r>
      <w:r>
        <w:fldChar w:fldCharType="end"/>
      </w:r>
    </w:p>
    <w:p>
      <w:pPr>
        <w:pStyle w:val="21"/>
        <w:tabs>
          <w:tab w:val="right" w:leader="dot" w:pos="8834"/>
        </w:tabs>
        <w:rPr>
          <w:rFonts w:asciiTheme="minorHAnsi" w:hAnsiTheme="minorHAnsi" w:eastAsiaTheme="minorEastAsia" w:cstheme="minorBidi"/>
          <w:kern w:val="2"/>
          <w:sz w:val="21"/>
        </w:rPr>
      </w:pPr>
      <w:r>
        <w:fldChar w:fldCharType="begin"/>
      </w:r>
      <w:r>
        <w:instrText xml:space="preserve"> HYPERLINK \l "_Toc78431504" </w:instrText>
      </w:r>
      <w:r>
        <w:fldChar w:fldCharType="separate"/>
      </w:r>
      <w:r>
        <w:rPr>
          <w:rStyle w:val="32"/>
          <w:rFonts w:ascii="黑体" w:hAnsi="黑体" w:eastAsia="黑体"/>
        </w:rPr>
        <w:t>三、专业人才培养目标</w:t>
      </w:r>
      <w:r>
        <w:tab/>
      </w:r>
      <w:r>
        <w:fldChar w:fldCharType="begin"/>
      </w:r>
      <w:r>
        <w:instrText xml:space="preserve"> PAGEREF _Toc78431504 \h </w:instrText>
      </w:r>
      <w:r>
        <w:fldChar w:fldCharType="separate"/>
      </w:r>
      <w:r>
        <w:t>6</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"_Toc78431505" </w:instrText>
      </w:r>
      <w:r>
        <w:fldChar w:fldCharType="separate"/>
      </w:r>
      <w:r>
        <w:rPr>
          <w:rStyle w:val="32"/>
        </w:rPr>
        <w:t>（一）职业面向</w:t>
      </w:r>
      <w:r>
        <w:tab/>
      </w:r>
      <w:r>
        <w:fldChar w:fldCharType="begin"/>
      </w:r>
      <w:r>
        <w:instrText xml:space="preserve"> PAGEREF _Toc78431505 \h </w:instrText>
      </w:r>
      <w:r>
        <w:fldChar w:fldCharType="separate"/>
      </w:r>
      <w:r>
        <w:t>6</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"_Toc78431506" </w:instrText>
      </w:r>
      <w:r>
        <w:fldChar w:fldCharType="separate"/>
      </w:r>
      <w:r>
        <w:rPr>
          <w:rStyle w:val="32"/>
        </w:rPr>
        <w:t>（二）职业能力结构</w:t>
      </w:r>
      <w:r>
        <w:tab/>
      </w:r>
      <w:r>
        <w:fldChar w:fldCharType="begin"/>
      </w:r>
      <w:r>
        <w:instrText xml:space="preserve"> PAGEREF _Toc78431506 \h </w:instrText>
      </w:r>
      <w:r>
        <w:fldChar w:fldCharType="separate"/>
      </w:r>
      <w:r>
        <w:t>6</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"_Toc78431507" </w:instrText>
      </w:r>
      <w:r>
        <w:fldChar w:fldCharType="separate"/>
      </w:r>
      <w:r>
        <w:rPr>
          <w:rStyle w:val="32"/>
        </w:rPr>
        <w:t>（三）专业人才培养目标</w:t>
      </w:r>
      <w:r>
        <w:tab/>
      </w:r>
      <w:r>
        <w:fldChar w:fldCharType="begin"/>
      </w:r>
      <w:r>
        <w:instrText xml:space="preserve"> PAGEREF _Toc78431507 \h </w:instrText>
      </w:r>
      <w:r>
        <w:fldChar w:fldCharType="separate"/>
      </w:r>
      <w:r>
        <w:t>7</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"_Toc78431508" </w:instrText>
      </w:r>
      <w:r>
        <w:fldChar w:fldCharType="separate"/>
      </w:r>
      <w:r>
        <w:rPr>
          <w:rStyle w:val="32"/>
        </w:rPr>
        <w:t>（四）专业人才培养水平定位</w:t>
      </w:r>
      <w:r>
        <w:tab/>
      </w:r>
      <w:r>
        <w:fldChar w:fldCharType="begin"/>
      </w:r>
      <w:r>
        <w:instrText xml:space="preserve"> PAGEREF _Toc78431508 \h </w:instrText>
      </w:r>
      <w:r>
        <w:fldChar w:fldCharType="separate"/>
      </w:r>
      <w:r>
        <w:t>7</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"_Toc78431509" </w:instrText>
      </w:r>
      <w:r>
        <w:fldChar w:fldCharType="separate"/>
      </w:r>
      <w:r>
        <w:rPr>
          <w:rStyle w:val="32"/>
        </w:rPr>
        <w:t>（五）专业人才规格与知识能力定位（加入徐涵老师培养规格部分）</w:t>
      </w:r>
      <w:r>
        <w:tab/>
      </w:r>
      <w:r>
        <w:fldChar w:fldCharType="begin"/>
      </w:r>
      <w:r>
        <w:instrText xml:space="preserve"> PAGEREF _Toc78431509 \h </w:instrText>
      </w:r>
      <w:r>
        <w:fldChar w:fldCharType="separate"/>
      </w:r>
      <w:r>
        <w:t>8</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"_Toc78431510" </w:instrText>
      </w:r>
      <w:r>
        <w:fldChar w:fldCharType="separate"/>
      </w:r>
      <w:r>
        <w:rPr>
          <w:rStyle w:val="32"/>
        </w:rPr>
        <w:t>（六）人才规格手册</w:t>
      </w:r>
      <w:r>
        <w:tab/>
      </w:r>
      <w:r>
        <w:fldChar w:fldCharType="begin"/>
      </w:r>
      <w:r>
        <w:instrText xml:space="preserve"> PAGEREF _Toc78431510 \h </w:instrText>
      </w:r>
      <w:r>
        <w:fldChar w:fldCharType="separate"/>
      </w:r>
      <w:r>
        <w:t>8</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"_Toc78431511" </w:instrText>
      </w:r>
      <w:r>
        <w:fldChar w:fldCharType="separate"/>
      </w:r>
      <w:r>
        <w:rPr>
          <w:rStyle w:val="32"/>
        </w:rPr>
        <w:t>（七）附件</w:t>
      </w:r>
      <w:r>
        <w:tab/>
      </w:r>
      <w:r>
        <w:fldChar w:fldCharType="begin"/>
      </w:r>
      <w:r>
        <w:instrText xml:space="preserve"> PAGEREF _Toc78431511 \h </w:instrText>
      </w:r>
      <w:r>
        <w:fldChar w:fldCharType="separate"/>
      </w:r>
      <w:r>
        <w:t>9</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"_Toc78431512" </w:instrText>
      </w:r>
      <w:r>
        <w:fldChar w:fldCharType="separate"/>
      </w:r>
      <w:r>
        <w:rPr>
          <w:rStyle w:val="32"/>
        </w:rPr>
        <w:t>（八）毕业条件</w:t>
      </w:r>
      <w:r>
        <w:tab/>
      </w:r>
      <w:r>
        <w:fldChar w:fldCharType="begin"/>
      </w:r>
      <w:r>
        <w:instrText xml:space="preserve"> PAGEREF _Toc78431512 \h </w:instrText>
      </w:r>
      <w:r>
        <w:fldChar w:fldCharType="separate"/>
      </w:r>
      <w:r>
        <w:t>9</w:t>
      </w:r>
      <w:r>
        <w:fldChar w:fldCharType="end"/>
      </w:r>
      <w:r>
        <w:fldChar w:fldCharType="end"/>
      </w:r>
    </w:p>
    <w:p>
      <w:pPr>
        <w:pStyle w:val="21"/>
        <w:tabs>
          <w:tab w:val="right" w:leader="dot" w:pos="8834"/>
        </w:tabs>
        <w:rPr>
          <w:rFonts w:asciiTheme="minorHAnsi" w:hAnsiTheme="minorHAnsi" w:eastAsiaTheme="minorEastAsia" w:cstheme="minorBidi"/>
          <w:kern w:val="2"/>
          <w:sz w:val="21"/>
        </w:rPr>
      </w:pPr>
      <w:r>
        <w:fldChar w:fldCharType="begin"/>
      </w:r>
      <w:r>
        <w:instrText xml:space="preserve"> HYPERLINK \l "_Toc78431513" </w:instrText>
      </w:r>
      <w:r>
        <w:fldChar w:fldCharType="separate"/>
      </w:r>
      <w:r>
        <w:rPr>
          <w:rStyle w:val="32"/>
          <w:rFonts w:eastAsia="黑体"/>
        </w:rPr>
        <w:t>四、专业发展定位</w:t>
      </w:r>
      <w:r>
        <w:tab/>
      </w:r>
      <w:r>
        <w:fldChar w:fldCharType="begin"/>
      </w:r>
      <w:r>
        <w:instrText xml:space="preserve"> PAGEREF _Toc78431513 \h </w:instrText>
      </w:r>
      <w:r>
        <w:fldChar w:fldCharType="separate"/>
      </w:r>
      <w:r>
        <w:t>9</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"_Toc78431514" </w:instrText>
      </w:r>
      <w:r>
        <w:fldChar w:fldCharType="separate"/>
      </w:r>
      <w:r>
        <w:rPr>
          <w:rStyle w:val="32"/>
        </w:rPr>
        <w:t>（一）学制</w:t>
      </w:r>
      <w:r>
        <w:tab/>
      </w:r>
      <w:r>
        <w:fldChar w:fldCharType="begin"/>
      </w:r>
      <w:r>
        <w:instrText xml:space="preserve"> PAGEREF _Toc78431514 \h </w:instrText>
      </w:r>
      <w:r>
        <w:fldChar w:fldCharType="separate"/>
      </w:r>
      <w:r>
        <w:t>9</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"_Toc78431515" </w:instrText>
      </w:r>
      <w:r>
        <w:fldChar w:fldCharType="separate"/>
      </w:r>
      <w:r>
        <w:rPr>
          <w:rStyle w:val="32"/>
        </w:rPr>
        <w:t>（二）招生对象</w:t>
      </w:r>
      <w:r>
        <w:tab/>
      </w:r>
      <w:r>
        <w:fldChar w:fldCharType="begin"/>
      </w:r>
      <w:r>
        <w:instrText xml:space="preserve"> PAGEREF _Toc78431515 \h </w:instrText>
      </w:r>
      <w:r>
        <w:fldChar w:fldCharType="separate"/>
      </w:r>
      <w:r>
        <w:t>9</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"_Toc78431516" </w:instrText>
      </w:r>
      <w:r>
        <w:fldChar w:fldCharType="separate"/>
      </w:r>
      <w:r>
        <w:rPr>
          <w:rStyle w:val="32"/>
        </w:rPr>
        <w:t>（三）招生规模</w:t>
      </w:r>
      <w:r>
        <w:tab/>
      </w:r>
      <w:r>
        <w:fldChar w:fldCharType="begin"/>
      </w:r>
      <w:r>
        <w:instrText xml:space="preserve"> PAGEREF _Toc78431516 \h </w:instrText>
      </w:r>
      <w:r>
        <w:fldChar w:fldCharType="separate"/>
      </w:r>
      <w:r>
        <w:t>9</w:t>
      </w:r>
      <w:r>
        <w:fldChar w:fldCharType="end"/>
      </w:r>
      <w:r>
        <w:fldChar w:fldCharType="end"/>
      </w:r>
    </w:p>
    <w:p>
      <w:pPr>
        <w:pStyle w:val="17"/>
        <w:tabs>
          <w:tab w:val="right" w:leader="dot" w:pos="8834"/>
        </w:tabs>
        <w:rPr>
          <w:rFonts w:asciiTheme="minorHAnsi" w:hAnsiTheme="minorHAnsi" w:eastAsiaTheme="minorEastAsia" w:cstheme="minorBidi"/>
          <w:kern w:val="2"/>
          <w:sz w:val="21"/>
        </w:rPr>
      </w:pPr>
      <w:r>
        <w:fldChar w:fldCharType="begin"/>
      </w:r>
      <w:r>
        <w:instrText xml:space="preserve"> HYPERLINK \l "_Toc78431517" </w:instrText>
      </w:r>
      <w:r>
        <w:fldChar w:fldCharType="separate"/>
      </w:r>
      <w:r>
        <w:rPr>
          <w:rStyle w:val="32"/>
          <w:rFonts w:ascii="黑体" w:eastAsia="黑体"/>
        </w:rPr>
        <w:t>第二部分 教育教学系统设计</w:t>
      </w:r>
      <w:r>
        <w:tab/>
      </w:r>
      <w:r>
        <w:fldChar w:fldCharType="begin"/>
      </w:r>
      <w:r>
        <w:instrText xml:space="preserve"> PAGEREF _Toc78431517 \h </w:instrText>
      </w:r>
      <w:r>
        <w:fldChar w:fldCharType="separate"/>
      </w:r>
      <w:r>
        <w:t>10</w:t>
      </w:r>
      <w:r>
        <w:fldChar w:fldCharType="end"/>
      </w:r>
      <w:r>
        <w:fldChar w:fldCharType="end"/>
      </w:r>
    </w:p>
    <w:p>
      <w:pPr>
        <w:pStyle w:val="21"/>
        <w:tabs>
          <w:tab w:val="right" w:leader="dot" w:pos="8834"/>
        </w:tabs>
        <w:rPr>
          <w:rFonts w:asciiTheme="minorHAnsi" w:hAnsiTheme="minorHAnsi" w:eastAsiaTheme="minorEastAsia" w:cstheme="minorBidi"/>
          <w:kern w:val="2"/>
          <w:sz w:val="21"/>
        </w:rPr>
      </w:pPr>
      <w:r>
        <w:fldChar w:fldCharType="begin"/>
      </w:r>
      <w:r>
        <w:instrText xml:space="preserve"> HYPERLINK \l "_Toc78431518" </w:instrText>
      </w:r>
      <w:r>
        <w:fldChar w:fldCharType="separate"/>
      </w:r>
      <w:r>
        <w:rPr>
          <w:rStyle w:val="32"/>
          <w:rFonts w:ascii="黑体" w:eastAsia="黑体"/>
        </w:rPr>
        <w:t>一、基本素质课程教学系统设计</w:t>
      </w:r>
      <w:r>
        <w:tab/>
      </w:r>
      <w:r>
        <w:fldChar w:fldCharType="begin"/>
      </w:r>
      <w:r>
        <w:instrText xml:space="preserve"> PAGEREF _Toc78431518 \h </w:instrText>
      </w:r>
      <w:r>
        <w:fldChar w:fldCharType="separate"/>
      </w:r>
      <w:r>
        <w:t>10</w:t>
      </w:r>
      <w:r>
        <w:fldChar w:fldCharType="end"/>
      </w:r>
      <w:r>
        <w:fldChar w:fldCharType="end"/>
      </w:r>
    </w:p>
    <w:p>
      <w:pPr>
        <w:pStyle w:val="10"/>
        <w:tabs>
          <w:tab w:val="right" w:leader="dot" w:pos="8834"/>
        </w:tabs>
        <w:rPr>
          <w:rFonts w:asciiTheme="minorHAnsi" w:hAnsiTheme="minorHAnsi" w:eastAsiaTheme="minorEastAsia" w:cstheme="minorBidi"/>
          <w:b w:val="0"/>
          <w:bCs w:val="0"/>
          <w:kern w:val="2"/>
          <w:sz w:val="21"/>
          <w:u w:val="single"/>
        </w:rPr>
      </w:pPr>
      <w:r>
        <w:rPr>
          <w:b w:val="0"/>
          <w:bCs w:val="0"/>
          <w:u w:val="single"/>
        </w:rPr>
        <w:fldChar w:fldCharType="begin"/>
      </w:r>
      <w:r>
        <w:rPr>
          <w:b w:val="0"/>
          <w:bCs w:val="0"/>
          <w:u w:val="single"/>
        </w:rPr>
        <w:instrText xml:space="preserve"> HYPERLINK \l "_Toc78431519" </w:instrText>
      </w:r>
      <w:r>
        <w:rPr>
          <w:b w:val="0"/>
          <w:bCs w:val="0"/>
          <w:u w:val="single"/>
        </w:rPr>
        <w:fldChar w:fldCharType="separate"/>
      </w:r>
      <w:r>
        <w:rPr>
          <w:rStyle w:val="32"/>
          <w:rFonts w:hAnsi="宋体"/>
          <w:b w:val="0"/>
          <w:bCs w:val="0"/>
        </w:rPr>
        <w:t>（一）思政品德修养教学系统设计</w:t>
      </w:r>
      <w:r>
        <w:rPr>
          <w:b w:val="0"/>
          <w:bCs w:val="0"/>
          <w:u w:val="single"/>
        </w:rPr>
        <w:tab/>
      </w:r>
      <w:r>
        <w:rPr>
          <w:b w:val="0"/>
          <w:bCs w:val="0"/>
          <w:u w:val="single"/>
        </w:rPr>
        <w:fldChar w:fldCharType="begin"/>
      </w:r>
      <w:r>
        <w:rPr>
          <w:b w:val="0"/>
          <w:bCs w:val="0"/>
          <w:u w:val="single"/>
        </w:rPr>
        <w:instrText xml:space="preserve"> PAGEREF _Toc78431519 \h </w:instrText>
      </w:r>
      <w:r>
        <w:rPr>
          <w:b w:val="0"/>
          <w:bCs w:val="0"/>
          <w:u w:val="single"/>
        </w:rPr>
        <w:fldChar w:fldCharType="separate"/>
      </w:r>
      <w:r>
        <w:rPr>
          <w:b w:val="0"/>
          <w:bCs w:val="0"/>
          <w:u w:val="single"/>
        </w:rPr>
        <w:t>10</w:t>
      </w:r>
      <w:r>
        <w:rPr>
          <w:b w:val="0"/>
          <w:bCs w:val="0"/>
          <w:u w:val="single"/>
        </w:rPr>
        <w:fldChar w:fldCharType="end"/>
      </w:r>
      <w:r>
        <w:rPr>
          <w:b w:val="0"/>
          <w:bCs w:val="0"/>
          <w:u w:val="single"/>
        </w:rPr>
        <w:fldChar w:fldCharType="end"/>
      </w:r>
    </w:p>
    <w:p>
      <w:pPr>
        <w:pStyle w:val="10"/>
        <w:tabs>
          <w:tab w:val="right" w:leader="dot" w:pos="8834"/>
        </w:tabs>
        <w:rPr>
          <w:rFonts w:asciiTheme="minorHAnsi" w:hAnsiTheme="minorHAnsi" w:eastAsiaTheme="minorEastAsia" w:cstheme="minorBidi"/>
          <w:b w:val="0"/>
          <w:bCs w:val="0"/>
          <w:kern w:val="2"/>
          <w:sz w:val="21"/>
          <w:u w:val="single"/>
        </w:rPr>
      </w:pPr>
      <w:r>
        <w:rPr>
          <w:b w:val="0"/>
          <w:bCs w:val="0"/>
          <w:u w:val="single"/>
        </w:rPr>
        <w:fldChar w:fldCharType="begin"/>
      </w:r>
      <w:r>
        <w:rPr>
          <w:b w:val="0"/>
          <w:bCs w:val="0"/>
          <w:u w:val="single"/>
        </w:rPr>
        <w:instrText xml:space="preserve"> HYPERLINK \l "_Toc78431520" </w:instrText>
      </w:r>
      <w:r>
        <w:rPr>
          <w:b w:val="0"/>
          <w:bCs w:val="0"/>
          <w:u w:val="single"/>
        </w:rPr>
        <w:fldChar w:fldCharType="separate"/>
      </w:r>
      <w:r>
        <w:rPr>
          <w:rStyle w:val="32"/>
          <w:b w:val="0"/>
          <w:bCs w:val="0"/>
        </w:rPr>
        <w:t>（二）大学语文课程教学系统设计</w:t>
      </w:r>
      <w:r>
        <w:rPr>
          <w:b w:val="0"/>
          <w:bCs w:val="0"/>
          <w:u w:val="single"/>
        </w:rPr>
        <w:tab/>
      </w:r>
      <w:r>
        <w:rPr>
          <w:b w:val="0"/>
          <w:bCs w:val="0"/>
          <w:u w:val="single"/>
        </w:rPr>
        <w:fldChar w:fldCharType="begin"/>
      </w:r>
      <w:r>
        <w:rPr>
          <w:b w:val="0"/>
          <w:bCs w:val="0"/>
          <w:u w:val="single"/>
        </w:rPr>
        <w:instrText xml:space="preserve"> PAGEREF _Toc78431520 \h </w:instrText>
      </w:r>
      <w:r>
        <w:rPr>
          <w:b w:val="0"/>
          <w:bCs w:val="0"/>
          <w:u w:val="single"/>
        </w:rPr>
        <w:fldChar w:fldCharType="separate"/>
      </w:r>
      <w:r>
        <w:rPr>
          <w:b w:val="0"/>
          <w:bCs w:val="0"/>
          <w:u w:val="single"/>
        </w:rPr>
        <w:t>10</w:t>
      </w:r>
      <w:r>
        <w:rPr>
          <w:b w:val="0"/>
          <w:bCs w:val="0"/>
          <w:u w:val="single"/>
        </w:rPr>
        <w:fldChar w:fldCharType="end"/>
      </w:r>
      <w:r>
        <w:rPr>
          <w:b w:val="0"/>
          <w:bCs w:val="0"/>
          <w:u w:val="single"/>
        </w:rPr>
        <w:fldChar w:fldCharType="end"/>
      </w:r>
    </w:p>
    <w:p>
      <w:pPr>
        <w:pStyle w:val="10"/>
        <w:tabs>
          <w:tab w:val="right" w:leader="dot" w:pos="8834"/>
        </w:tabs>
        <w:rPr>
          <w:rFonts w:asciiTheme="minorHAnsi" w:hAnsiTheme="minorHAnsi" w:eastAsiaTheme="minorEastAsia" w:cstheme="minorBidi"/>
          <w:b w:val="0"/>
          <w:bCs w:val="0"/>
          <w:kern w:val="2"/>
          <w:sz w:val="21"/>
          <w:u w:val="single"/>
        </w:rPr>
      </w:pPr>
      <w:r>
        <w:rPr>
          <w:b w:val="0"/>
          <w:bCs w:val="0"/>
          <w:u w:val="single"/>
        </w:rPr>
        <w:fldChar w:fldCharType="begin"/>
      </w:r>
      <w:r>
        <w:rPr>
          <w:b w:val="0"/>
          <w:bCs w:val="0"/>
          <w:u w:val="single"/>
        </w:rPr>
        <w:instrText xml:space="preserve"> HYPERLINK \l "_Toc78431521" </w:instrText>
      </w:r>
      <w:r>
        <w:rPr>
          <w:b w:val="0"/>
          <w:bCs w:val="0"/>
          <w:u w:val="single"/>
        </w:rPr>
        <w:fldChar w:fldCharType="separate"/>
      </w:r>
      <w:r>
        <w:rPr>
          <w:rStyle w:val="32"/>
          <w:b w:val="0"/>
          <w:bCs w:val="0"/>
        </w:rPr>
        <w:t>（三）大学英语课程教学系统设计</w:t>
      </w:r>
      <w:r>
        <w:rPr>
          <w:b w:val="0"/>
          <w:bCs w:val="0"/>
          <w:u w:val="single"/>
        </w:rPr>
        <w:tab/>
      </w:r>
      <w:r>
        <w:rPr>
          <w:b w:val="0"/>
          <w:bCs w:val="0"/>
          <w:u w:val="single"/>
        </w:rPr>
        <w:fldChar w:fldCharType="begin"/>
      </w:r>
      <w:r>
        <w:rPr>
          <w:b w:val="0"/>
          <w:bCs w:val="0"/>
          <w:u w:val="single"/>
        </w:rPr>
        <w:instrText xml:space="preserve"> PAGEREF _Toc78431521 \h </w:instrText>
      </w:r>
      <w:r>
        <w:rPr>
          <w:b w:val="0"/>
          <w:bCs w:val="0"/>
          <w:u w:val="single"/>
        </w:rPr>
        <w:fldChar w:fldCharType="separate"/>
      </w:r>
      <w:r>
        <w:rPr>
          <w:b w:val="0"/>
          <w:bCs w:val="0"/>
          <w:u w:val="single"/>
        </w:rPr>
        <w:t>10</w:t>
      </w:r>
      <w:r>
        <w:rPr>
          <w:b w:val="0"/>
          <w:bCs w:val="0"/>
          <w:u w:val="single"/>
        </w:rPr>
        <w:fldChar w:fldCharType="end"/>
      </w:r>
      <w:r>
        <w:rPr>
          <w:b w:val="0"/>
          <w:bCs w:val="0"/>
          <w:u w:val="single"/>
        </w:rPr>
        <w:fldChar w:fldCharType="end"/>
      </w:r>
    </w:p>
    <w:p>
      <w:pPr>
        <w:pStyle w:val="10"/>
        <w:tabs>
          <w:tab w:val="right" w:leader="dot" w:pos="8834"/>
        </w:tabs>
        <w:rPr>
          <w:rFonts w:asciiTheme="minorHAnsi" w:hAnsiTheme="minorHAnsi" w:eastAsiaTheme="minorEastAsia" w:cstheme="minorBidi"/>
          <w:b w:val="0"/>
          <w:bCs w:val="0"/>
          <w:kern w:val="2"/>
          <w:sz w:val="21"/>
          <w:u w:val="single"/>
        </w:rPr>
      </w:pPr>
      <w:r>
        <w:rPr>
          <w:b w:val="0"/>
          <w:bCs w:val="0"/>
          <w:u w:val="single"/>
        </w:rPr>
        <w:fldChar w:fldCharType="begin"/>
      </w:r>
      <w:r>
        <w:rPr>
          <w:b w:val="0"/>
          <w:bCs w:val="0"/>
          <w:u w:val="single"/>
        </w:rPr>
        <w:instrText xml:space="preserve"> HYPERLINK \l "_Toc78431522" </w:instrText>
      </w:r>
      <w:r>
        <w:rPr>
          <w:b w:val="0"/>
          <w:bCs w:val="0"/>
          <w:u w:val="single"/>
        </w:rPr>
        <w:fldChar w:fldCharType="separate"/>
      </w:r>
      <w:r>
        <w:rPr>
          <w:rStyle w:val="32"/>
          <w:b w:val="0"/>
          <w:bCs w:val="0"/>
        </w:rPr>
        <w:t>（四）计算机应用能力教学系统设计</w:t>
      </w:r>
      <w:r>
        <w:rPr>
          <w:b w:val="0"/>
          <w:bCs w:val="0"/>
          <w:u w:val="single"/>
        </w:rPr>
        <w:tab/>
      </w:r>
      <w:r>
        <w:rPr>
          <w:b w:val="0"/>
          <w:bCs w:val="0"/>
          <w:u w:val="single"/>
        </w:rPr>
        <w:fldChar w:fldCharType="begin"/>
      </w:r>
      <w:r>
        <w:rPr>
          <w:b w:val="0"/>
          <w:bCs w:val="0"/>
          <w:u w:val="single"/>
        </w:rPr>
        <w:instrText xml:space="preserve"> PAGEREF _Toc78431522 \h </w:instrText>
      </w:r>
      <w:r>
        <w:rPr>
          <w:b w:val="0"/>
          <w:bCs w:val="0"/>
          <w:u w:val="single"/>
        </w:rPr>
        <w:fldChar w:fldCharType="separate"/>
      </w:r>
      <w:r>
        <w:rPr>
          <w:b w:val="0"/>
          <w:bCs w:val="0"/>
          <w:u w:val="single"/>
        </w:rPr>
        <w:t>10</w:t>
      </w:r>
      <w:r>
        <w:rPr>
          <w:b w:val="0"/>
          <w:bCs w:val="0"/>
          <w:u w:val="single"/>
        </w:rPr>
        <w:fldChar w:fldCharType="end"/>
      </w:r>
      <w:r>
        <w:rPr>
          <w:b w:val="0"/>
          <w:bCs w:val="0"/>
          <w:u w:val="single"/>
        </w:rPr>
        <w:fldChar w:fldCharType="end"/>
      </w:r>
    </w:p>
    <w:p>
      <w:pPr>
        <w:pStyle w:val="10"/>
        <w:tabs>
          <w:tab w:val="right" w:leader="dot" w:pos="8834"/>
        </w:tabs>
        <w:rPr>
          <w:rFonts w:asciiTheme="minorHAnsi" w:hAnsiTheme="minorHAnsi" w:eastAsiaTheme="minorEastAsia" w:cstheme="minorBidi"/>
          <w:b w:val="0"/>
          <w:bCs w:val="0"/>
          <w:kern w:val="2"/>
          <w:sz w:val="21"/>
          <w:u w:val="single"/>
        </w:rPr>
      </w:pPr>
      <w:r>
        <w:rPr>
          <w:b w:val="0"/>
          <w:bCs w:val="0"/>
          <w:u w:val="single"/>
        </w:rPr>
        <w:fldChar w:fldCharType="begin"/>
      </w:r>
      <w:r>
        <w:rPr>
          <w:b w:val="0"/>
          <w:bCs w:val="0"/>
          <w:u w:val="single"/>
        </w:rPr>
        <w:instrText xml:space="preserve"> HYPERLINK \l "_Toc78431523" </w:instrText>
      </w:r>
      <w:r>
        <w:rPr>
          <w:b w:val="0"/>
          <w:bCs w:val="0"/>
          <w:u w:val="single"/>
        </w:rPr>
        <w:fldChar w:fldCharType="separate"/>
      </w:r>
      <w:r>
        <w:rPr>
          <w:rStyle w:val="32"/>
          <w:b w:val="0"/>
          <w:bCs w:val="0"/>
        </w:rPr>
        <w:t>（五）体育素质训练教学系统设计</w:t>
      </w:r>
      <w:r>
        <w:rPr>
          <w:b w:val="0"/>
          <w:bCs w:val="0"/>
          <w:u w:val="single"/>
        </w:rPr>
        <w:tab/>
      </w:r>
      <w:r>
        <w:rPr>
          <w:b w:val="0"/>
          <w:bCs w:val="0"/>
          <w:u w:val="single"/>
        </w:rPr>
        <w:fldChar w:fldCharType="begin"/>
      </w:r>
      <w:r>
        <w:rPr>
          <w:b w:val="0"/>
          <w:bCs w:val="0"/>
          <w:u w:val="single"/>
        </w:rPr>
        <w:instrText xml:space="preserve"> PAGEREF _Toc78431523 \h </w:instrText>
      </w:r>
      <w:r>
        <w:rPr>
          <w:b w:val="0"/>
          <w:bCs w:val="0"/>
          <w:u w:val="single"/>
        </w:rPr>
        <w:fldChar w:fldCharType="separate"/>
      </w:r>
      <w:r>
        <w:rPr>
          <w:b w:val="0"/>
          <w:bCs w:val="0"/>
          <w:u w:val="single"/>
        </w:rPr>
        <w:t>10</w:t>
      </w:r>
      <w:r>
        <w:rPr>
          <w:b w:val="0"/>
          <w:bCs w:val="0"/>
          <w:u w:val="single"/>
        </w:rPr>
        <w:fldChar w:fldCharType="end"/>
      </w:r>
      <w:r>
        <w:rPr>
          <w:b w:val="0"/>
          <w:bCs w:val="0"/>
          <w:u w:val="single"/>
        </w:rPr>
        <w:fldChar w:fldCharType="end"/>
      </w:r>
    </w:p>
    <w:p>
      <w:pPr>
        <w:pStyle w:val="10"/>
        <w:tabs>
          <w:tab w:val="right" w:leader="dot" w:pos="8834"/>
        </w:tabs>
        <w:rPr>
          <w:rFonts w:asciiTheme="minorHAnsi" w:hAnsiTheme="minorHAnsi" w:eastAsiaTheme="minorEastAsia" w:cstheme="minorBidi"/>
          <w:b w:val="0"/>
          <w:bCs w:val="0"/>
          <w:kern w:val="2"/>
          <w:sz w:val="21"/>
          <w:u w:val="single"/>
        </w:rPr>
      </w:pPr>
      <w:r>
        <w:rPr>
          <w:b w:val="0"/>
          <w:bCs w:val="0"/>
          <w:u w:val="single"/>
        </w:rPr>
        <w:fldChar w:fldCharType="begin"/>
      </w:r>
      <w:r>
        <w:rPr>
          <w:b w:val="0"/>
          <w:bCs w:val="0"/>
          <w:u w:val="single"/>
        </w:rPr>
        <w:instrText xml:space="preserve"> HYPERLINK \l "_Toc78431524" </w:instrText>
      </w:r>
      <w:r>
        <w:rPr>
          <w:b w:val="0"/>
          <w:bCs w:val="0"/>
          <w:u w:val="single"/>
        </w:rPr>
        <w:fldChar w:fldCharType="separate"/>
      </w:r>
      <w:r>
        <w:rPr>
          <w:rStyle w:val="32"/>
          <w:b w:val="0"/>
          <w:bCs w:val="0"/>
        </w:rPr>
        <w:t>（六）公共礼仪素质养成教学系统设计</w:t>
      </w:r>
      <w:r>
        <w:rPr>
          <w:b w:val="0"/>
          <w:bCs w:val="0"/>
          <w:u w:val="single"/>
        </w:rPr>
        <w:tab/>
      </w:r>
      <w:r>
        <w:rPr>
          <w:b w:val="0"/>
          <w:bCs w:val="0"/>
          <w:u w:val="single"/>
        </w:rPr>
        <w:fldChar w:fldCharType="begin"/>
      </w:r>
      <w:r>
        <w:rPr>
          <w:b w:val="0"/>
          <w:bCs w:val="0"/>
          <w:u w:val="single"/>
        </w:rPr>
        <w:instrText xml:space="preserve"> PAGEREF _Toc78431524 \h </w:instrText>
      </w:r>
      <w:r>
        <w:rPr>
          <w:b w:val="0"/>
          <w:bCs w:val="0"/>
          <w:u w:val="single"/>
        </w:rPr>
        <w:fldChar w:fldCharType="separate"/>
      </w:r>
      <w:r>
        <w:rPr>
          <w:b w:val="0"/>
          <w:bCs w:val="0"/>
          <w:u w:val="single"/>
        </w:rPr>
        <w:t>10</w:t>
      </w:r>
      <w:r>
        <w:rPr>
          <w:b w:val="0"/>
          <w:bCs w:val="0"/>
          <w:u w:val="single"/>
        </w:rPr>
        <w:fldChar w:fldCharType="end"/>
      </w:r>
      <w:r>
        <w:rPr>
          <w:b w:val="0"/>
          <w:bCs w:val="0"/>
          <w:u w:val="single"/>
        </w:rPr>
        <w:fldChar w:fldCharType="end"/>
      </w:r>
    </w:p>
    <w:p>
      <w:pPr>
        <w:pStyle w:val="10"/>
        <w:tabs>
          <w:tab w:val="right" w:leader="dot" w:pos="8834"/>
        </w:tabs>
        <w:rPr>
          <w:rFonts w:asciiTheme="minorHAnsi" w:hAnsiTheme="minorHAnsi" w:eastAsiaTheme="minorEastAsia" w:cstheme="minorBidi"/>
          <w:b w:val="0"/>
          <w:bCs w:val="0"/>
          <w:kern w:val="2"/>
          <w:sz w:val="21"/>
          <w:u w:val="single"/>
        </w:rPr>
      </w:pPr>
      <w:r>
        <w:rPr>
          <w:b w:val="0"/>
          <w:bCs w:val="0"/>
          <w:u w:val="single"/>
        </w:rPr>
        <w:fldChar w:fldCharType="begin"/>
      </w:r>
      <w:r>
        <w:rPr>
          <w:b w:val="0"/>
          <w:bCs w:val="0"/>
          <w:u w:val="single"/>
        </w:rPr>
        <w:instrText xml:space="preserve"> HYPERLINK \l "_Toc78431525" </w:instrText>
      </w:r>
      <w:r>
        <w:rPr>
          <w:b w:val="0"/>
          <w:bCs w:val="0"/>
          <w:u w:val="single"/>
        </w:rPr>
        <w:fldChar w:fldCharType="separate"/>
      </w:r>
      <w:r>
        <w:rPr>
          <w:rStyle w:val="32"/>
          <w:rFonts w:hAnsi="宋体"/>
          <w:b w:val="0"/>
          <w:bCs w:val="0"/>
        </w:rPr>
        <w:t>（七）中国传统文化传承教学系统设计</w:t>
      </w:r>
      <w:r>
        <w:rPr>
          <w:b w:val="0"/>
          <w:bCs w:val="0"/>
          <w:u w:val="single"/>
        </w:rPr>
        <w:tab/>
      </w:r>
      <w:r>
        <w:rPr>
          <w:b w:val="0"/>
          <w:bCs w:val="0"/>
          <w:u w:val="single"/>
        </w:rPr>
        <w:fldChar w:fldCharType="begin"/>
      </w:r>
      <w:r>
        <w:rPr>
          <w:b w:val="0"/>
          <w:bCs w:val="0"/>
          <w:u w:val="single"/>
        </w:rPr>
        <w:instrText xml:space="preserve"> PAGEREF _Toc78431525 \h </w:instrText>
      </w:r>
      <w:r>
        <w:rPr>
          <w:b w:val="0"/>
          <w:bCs w:val="0"/>
          <w:u w:val="single"/>
        </w:rPr>
        <w:fldChar w:fldCharType="separate"/>
      </w:r>
      <w:r>
        <w:rPr>
          <w:b w:val="0"/>
          <w:bCs w:val="0"/>
          <w:u w:val="single"/>
        </w:rPr>
        <w:t>10</w:t>
      </w:r>
      <w:r>
        <w:rPr>
          <w:b w:val="0"/>
          <w:bCs w:val="0"/>
          <w:u w:val="single"/>
        </w:rPr>
        <w:fldChar w:fldCharType="end"/>
      </w:r>
      <w:r>
        <w:rPr>
          <w:b w:val="0"/>
          <w:bCs w:val="0"/>
          <w:u w:val="single"/>
        </w:rPr>
        <w:fldChar w:fldCharType="end"/>
      </w:r>
    </w:p>
    <w:p>
      <w:pPr>
        <w:pStyle w:val="10"/>
        <w:tabs>
          <w:tab w:val="right" w:leader="dot" w:pos="8834"/>
        </w:tabs>
        <w:rPr>
          <w:rFonts w:asciiTheme="minorHAnsi" w:hAnsiTheme="minorHAnsi" w:eastAsiaTheme="minorEastAsia" w:cstheme="minorBidi"/>
          <w:b w:val="0"/>
          <w:bCs w:val="0"/>
          <w:kern w:val="2"/>
          <w:sz w:val="21"/>
          <w:u w:val="single"/>
        </w:rPr>
      </w:pPr>
      <w:r>
        <w:rPr>
          <w:b w:val="0"/>
          <w:bCs w:val="0"/>
          <w:u w:val="single"/>
        </w:rPr>
        <w:fldChar w:fldCharType="begin"/>
      </w:r>
      <w:r>
        <w:rPr>
          <w:b w:val="0"/>
          <w:bCs w:val="0"/>
          <w:u w:val="single"/>
        </w:rPr>
        <w:instrText xml:space="preserve"> HYPERLINK \l "_Toc78431526" </w:instrText>
      </w:r>
      <w:r>
        <w:rPr>
          <w:b w:val="0"/>
          <w:bCs w:val="0"/>
          <w:u w:val="single"/>
        </w:rPr>
        <w:fldChar w:fldCharType="separate"/>
      </w:r>
      <w:r>
        <w:rPr>
          <w:rStyle w:val="32"/>
          <w:rFonts w:hAnsi="宋体"/>
          <w:b w:val="0"/>
          <w:bCs w:val="0"/>
        </w:rPr>
        <w:t>（八）就业和创业课程教学系统设计</w:t>
      </w:r>
      <w:r>
        <w:rPr>
          <w:b w:val="0"/>
          <w:bCs w:val="0"/>
          <w:u w:val="single"/>
        </w:rPr>
        <w:tab/>
      </w:r>
      <w:r>
        <w:rPr>
          <w:b w:val="0"/>
          <w:bCs w:val="0"/>
          <w:u w:val="single"/>
        </w:rPr>
        <w:fldChar w:fldCharType="begin"/>
      </w:r>
      <w:r>
        <w:rPr>
          <w:b w:val="0"/>
          <w:bCs w:val="0"/>
          <w:u w:val="single"/>
        </w:rPr>
        <w:instrText xml:space="preserve"> PAGEREF _Toc78431526 \h </w:instrText>
      </w:r>
      <w:r>
        <w:rPr>
          <w:b w:val="0"/>
          <w:bCs w:val="0"/>
          <w:u w:val="single"/>
        </w:rPr>
        <w:fldChar w:fldCharType="separate"/>
      </w:r>
      <w:r>
        <w:rPr>
          <w:b w:val="0"/>
          <w:bCs w:val="0"/>
          <w:u w:val="single"/>
        </w:rPr>
        <w:t>10</w:t>
      </w:r>
      <w:r>
        <w:rPr>
          <w:b w:val="0"/>
          <w:bCs w:val="0"/>
          <w:u w:val="single"/>
        </w:rPr>
        <w:fldChar w:fldCharType="end"/>
      </w:r>
      <w:r>
        <w:rPr>
          <w:b w:val="0"/>
          <w:bCs w:val="0"/>
          <w:u w:val="single"/>
        </w:rPr>
        <w:fldChar w:fldCharType="end"/>
      </w:r>
    </w:p>
    <w:p>
      <w:pPr>
        <w:pStyle w:val="10"/>
        <w:tabs>
          <w:tab w:val="right" w:leader="dot" w:pos="8834"/>
        </w:tabs>
        <w:rPr>
          <w:rFonts w:asciiTheme="minorHAnsi" w:hAnsiTheme="minorHAnsi" w:eastAsiaTheme="minorEastAsia" w:cstheme="minorBidi"/>
          <w:b w:val="0"/>
          <w:bCs w:val="0"/>
          <w:kern w:val="2"/>
          <w:sz w:val="21"/>
          <w:u w:val="single"/>
        </w:rPr>
      </w:pPr>
      <w:r>
        <w:rPr>
          <w:b w:val="0"/>
          <w:bCs w:val="0"/>
          <w:u w:val="single"/>
        </w:rPr>
        <w:fldChar w:fldCharType="begin"/>
      </w:r>
      <w:r>
        <w:rPr>
          <w:b w:val="0"/>
          <w:bCs w:val="0"/>
          <w:u w:val="single"/>
        </w:rPr>
        <w:instrText xml:space="preserve"> HYPERLINK \l "_Toc78431527" </w:instrText>
      </w:r>
      <w:r>
        <w:rPr>
          <w:b w:val="0"/>
          <w:bCs w:val="0"/>
          <w:u w:val="single"/>
        </w:rPr>
        <w:fldChar w:fldCharType="separate"/>
      </w:r>
      <w:r>
        <w:rPr>
          <w:rStyle w:val="32"/>
          <w:rFonts w:hAnsi="宋体"/>
          <w:b w:val="0"/>
          <w:bCs w:val="0"/>
        </w:rPr>
        <w:t>（九）论坛主题讲座系统设计</w:t>
      </w:r>
      <w:r>
        <w:rPr>
          <w:b w:val="0"/>
          <w:bCs w:val="0"/>
          <w:u w:val="single"/>
        </w:rPr>
        <w:tab/>
      </w:r>
      <w:r>
        <w:rPr>
          <w:b w:val="0"/>
          <w:bCs w:val="0"/>
          <w:u w:val="single"/>
        </w:rPr>
        <w:fldChar w:fldCharType="begin"/>
      </w:r>
      <w:r>
        <w:rPr>
          <w:b w:val="0"/>
          <w:bCs w:val="0"/>
          <w:u w:val="single"/>
        </w:rPr>
        <w:instrText xml:space="preserve"> PAGEREF _Toc78431527 \h </w:instrText>
      </w:r>
      <w:r>
        <w:rPr>
          <w:b w:val="0"/>
          <w:bCs w:val="0"/>
          <w:u w:val="single"/>
        </w:rPr>
        <w:fldChar w:fldCharType="separate"/>
      </w:r>
      <w:r>
        <w:rPr>
          <w:b w:val="0"/>
          <w:bCs w:val="0"/>
          <w:u w:val="single"/>
        </w:rPr>
        <w:t>10</w:t>
      </w:r>
      <w:r>
        <w:rPr>
          <w:b w:val="0"/>
          <w:bCs w:val="0"/>
          <w:u w:val="single"/>
        </w:rPr>
        <w:fldChar w:fldCharType="end"/>
      </w:r>
      <w:r>
        <w:rPr>
          <w:b w:val="0"/>
          <w:bCs w:val="0"/>
          <w:u w:val="single"/>
        </w:rPr>
        <w:fldChar w:fldCharType="end"/>
      </w:r>
    </w:p>
    <w:p>
      <w:pPr>
        <w:pStyle w:val="10"/>
        <w:tabs>
          <w:tab w:val="right" w:leader="dot" w:pos="8834"/>
        </w:tabs>
        <w:rPr>
          <w:rFonts w:asciiTheme="minorHAnsi" w:hAnsiTheme="minorHAnsi" w:eastAsiaTheme="minorEastAsia" w:cstheme="minorBidi"/>
          <w:b w:val="0"/>
          <w:bCs w:val="0"/>
          <w:kern w:val="2"/>
          <w:sz w:val="21"/>
          <w:u w:val="single"/>
        </w:rPr>
      </w:pPr>
      <w:r>
        <w:rPr>
          <w:b w:val="0"/>
          <w:bCs w:val="0"/>
          <w:u w:val="single"/>
        </w:rPr>
        <w:fldChar w:fldCharType="begin"/>
      </w:r>
      <w:r>
        <w:rPr>
          <w:b w:val="0"/>
          <w:bCs w:val="0"/>
          <w:u w:val="single"/>
        </w:rPr>
        <w:instrText xml:space="preserve"> HYPERLINK \l "_Toc78431528" </w:instrText>
      </w:r>
      <w:r>
        <w:rPr>
          <w:b w:val="0"/>
          <w:bCs w:val="0"/>
          <w:u w:val="single"/>
        </w:rPr>
        <w:fldChar w:fldCharType="separate"/>
      </w:r>
      <w:r>
        <w:rPr>
          <w:rStyle w:val="32"/>
          <w:b w:val="0"/>
          <w:bCs w:val="0"/>
        </w:rPr>
        <w:t>（十）公共选修课程教学环节系统设计</w:t>
      </w:r>
      <w:r>
        <w:rPr>
          <w:b w:val="0"/>
          <w:bCs w:val="0"/>
          <w:u w:val="single"/>
        </w:rPr>
        <w:tab/>
      </w:r>
      <w:r>
        <w:rPr>
          <w:b w:val="0"/>
          <w:bCs w:val="0"/>
          <w:u w:val="single"/>
        </w:rPr>
        <w:fldChar w:fldCharType="begin"/>
      </w:r>
      <w:r>
        <w:rPr>
          <w:b w:val="0"/>
          <w:bCs w:val="0"/>
          <w:u w:val="single"/>
        </w:rPr>
        <w:instrText xml:space="preserve"> PAGEREF _Toc78431528 \h </w:instrText>
      </w:r>
      <w:r>
        <w:rPr>
          <w:b w:val="0"/>
          <w:bCs w:val="0"/>
          <w:u w:val="single"/>
        </w:rPr>
        <w:fldChar w:fldCharType="separate"/>
      </w:r>
      <w:r>
        <w:rPr>
          <w:b w:val="0"/>
          <w:bCs w:val="0"/>
          <w:u w:val="single"/>
        </w:rPr>
        <w:t>10</w:t>
      </w:r>
      <w:r>
        <w:rPr>
          <w:b w:val="0"/>
          <w:bCs w:val="0"/>
          <w:u w:val="single"/>
        </w:rPr>
        <w:fldChar w:fldCharType="end"/>
      </w:r>
      <w:r>
        <w:rPr>
          <w:b w:val="0"/>
          <w:bCs w:val="0"/>
          <w:u w:val="single"/>
        </w:rPr>
        <w:fldChar w:fldCharType="end"/>
      </w:r>
    </w:p>
    <w:p>
      <w:pPr>
        <w:pStyle w:val="21"/>
        <w:tabs>
          <w:tab w:val="right" w:leader="dot" w:pos="8834"/>
        </w:tabs>
        <w:rPr>
          <w:rFonts w:asciiTheme="minorHAnsi" w:hAnsiTheme="minorHAnsi" w:eastAsiaTheme="minorEastAsia" w:cstheme="minorBidi"/>
          <w:kern w:val="2"/>
          <w:sz w:val="21"/>
        </w:rPr>
      </w:pPr>
      <w:r>
        <w:fldChar w:fldCharType="begin"/>
      </w:r>
      <w:r>
        <w:instrText xml:space="preserve"> HYPERLINK \l "_Toc78431529" </w:instrText>
      </w:r>
      <w:r>
        <w:fldChar w:fldCharType="separate"/>
      </w:r>
      <w:r>
        <w:rPr>
          <w:rStyle w:val="32"/>
          <w:rFonts w:ascii="黑体" w:eastAsia="黑体"/>
        </w:rPr>
        <w:t>二、理论课程教学体系系统设计</w:t>
      </w:r>
      <w:r>
        <w:rPr>
          <w:rStyle w:val="32"/>
          <w:rFonts w:ascii="楷体_GB2312" w:eastAsia="楷体_GB2312"/>
        </w:rPr>
        <w:t>（专业基础课和专业课）</w:t>
      </w:r>
      <w:r>
        <w:tab/>
      </w:r>
      <w:r>
        <w:fldChar w:fldCharType="begin"/>
      </w:r>
      <w:r>
        <w:instrText xml:space="preserve"> PAGEREF _Toc78431529 \h </w:instrText>
      </w:r>
      <w:r>
        <w:fldChar w:fldCharType="separate"/>
      </w:r>
      <w:r>
        <w:t>10</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"_Toc78431530" </w:instrText>
      </w:r>
      <w:r>
        <w:fldChar w:fldCharType="separate"/>
      </w:r>
      <w:r>
        <w:rPr>
          <w:rStyle w:val="32"/>
        </w:rPr>
        <w:t>（一）职业素质课程教学系统设计</w:t>
      </w:r>
      <w:r>
        <w:tab/>
      </w:r>
      <w:r>
        <w:fldChar w:fldCharType="begin"/>
      </w:r>
      <w:r>
        <w:instrText xml:space="preserve"> PAGEREF _Toc78431530 \h </w:instrText>
      </w:r>
      <w:r>
        <w:fldChar w:fldCharType="separate"/>
      </w:r>
      <w:r>
        <w:t>10</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"_Toc78431531" </w:instrText>
      </w:r>
      <w:r>
        <w:fldChar w:fldCharType="separate"/>
      </w:r>
      <w:r>
        <w:rPr>
          <w:rStyle w:val="32"/>
        </w:rPr>
        <w:t>（二）职业技能课程教学系统设计</w:t>
      </w:r>
      <w:r>
        <w:tab/>
      </w:r>
      <w:r>
        <w:fldChar w:fldCharType="begin"/>
      </w:r>
      <w:r>
        <w:instrText xml:space="preserve"> PAGEREF _Toc78431531 \h </w:instrText>
      </w:r>
      <w:r>
        <w:fldChar w:fldCharType="separate"/>
      </w:r>
      <w:r>
        <w:t>11</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"_Toc78431532" </w:instrText>
      </w:r>
      <w:r>
        <w:fldChar w:fldCharType="separate"/>
      </w:r>
      <w:r>
        <w:rPr>
          <w:rStyle w:val="32"/>
        </w:rPr>
        <w:t>（三）专项实训课程系统设计</w:t>
      </w:r>
      <w:r>
        <w:tab/>
      </w:r>
      <w:r>
        <w:fldChar w:fldCharType="begin"/>
      </w:r>
      <w:r>
        <w:instrText xml:space="preserve"> PAGEREF _Toc78431532 \h </w:instrText>
      </w:r>
      <w:r>
        <w:fldChar w:fldCharType="separate"/>
      </w:r>
      <w:r>
        <w:t>13</w:t>
      </w:r>
      <w:r>
        <w:fldChar w:fldCharType="end"/>
      </w:r>
      <w:r>
        <w:fldChar w:fldCharType="end"/>
      </w:r>
    </w:p>
    <w:p>
      <w:pPr>
        <w:pStyle w:val="21"/>
        <w:tabs>
          <w:tab w:val="right" w:leader="dot" w:pos="8834"/>
        </w:tabs>
        <w:rPr>
          <w:rFonts w:asciiTheme="minorHAnsi" w:hAnsiTheme="minorHAnsi" w:eastAsiaTheme="minorEastAsia" w:cstheme="minorBidi"/>
          <w:kern w:val="2"/>
          <w:sz w:val="21"/>
        </w:rPr>
      </w:pPr>
      <w:r>
        <w:fldChar w:fldCharType="begin"/>
      </w:r>
      <w:r>
        <w:instrText xml:space="preserve"> HYPERLINK \l "_Toc78431533" </w:instrText>
      </w:r>
      <w:r>
        <w:fldChar w:fldCharType="separate"/>
      </w:r>
      <w:r>
        <w:rPr>
          <w:rStyle w:val="32"/>
          <w:rFonts w:ascii="黑体" w:eastAsia="黑体"/>
        </w:rPr>
        <w:t>三、实践教学体系的系统设计</w:t>
      </w:r>
      <w:r>
        <w:rPr>
          <w:rStyle w:val="32"/>
          <w:rFonts w:ascii="楷体_GB2312" w:eastAsia="楷体_GB2312"/>
        </w:rPr>
        <w:t>（各专业要根据本专业实际进行表述）</w:t>
      </w:r>
      <w:r>
        <w:tab/>
      </w:r>
      <w:r>
        <w:fldChar w:fldCharType="begin"/>
      </w:r>
      <w:r>
        <w:instrText xml:space="preserve"> PAGEREF _Toc78431533 \h </w:instrText>
      </w:r>
      <w:r>
        <w:fldChar w:fldCharType="separate"/>
      </w:r>
      <w:r>
        <w:t>13</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"_Toc78431534" </w:instrText>
      </w:r>
      <w:r>
        <w:fldChar w:fldCharType="separate"/>
      </w:r>
      <w:r>
        <w:rPr>
          <w:rStyle w:val="32"/>
        </w:rPr>
        <w:t>（一）核心技能衍生专业实训体系</w:t>
      </w:r>
      <w:r>
        <w:tab/>
      </w:r>
      <w:r>
        <w:fldChar w:fldCharType="begin"/>
      </w:r>
      <w:r>
        <w:instrText xml:space="preserve"> PAGEREF _Toc78431534 \h </w:instrText>
      </w:r>
      <w:r>
        <w:fldChar w:fldCharType="separate"/>
      </w:r>
      <w:r>
        <w:t>13</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"_Toc78431535" </w:instrText>
      </w:r>
      <w:r>
        <w:fldChar w:fldCharType="separate"/>
      </w:r>
      <w:r>
        <w:rPr>
          <w:rStyle w:val="32"/>
        </w:rPr>
        <w:t>（二）课内实践教学内容设计</w:t>
      </w:r>
      <w:r>
        <w:tab/>
      </w:r>
      <w:r>
        <w:fldChar w:fldCharType="begin"/>
      </w:r>
      <w:r>
        <w:instrText xml:space="preserve"> PAGEREF _Toc78431535 \h </w:instrText>
      </w:r>
      <w:r>
        <w:fldChar w:fldCharType="separate"/>
      </w:r>
      <w:r>
        <w:t>14</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"_Toc78431536" </w:instrText>
      </w:r>
      <w:r>
        <w:fldChar w:fldCharType="separate"/>
      </w:r>
      <w:r>
        <w:rPr>
          <w:rStyle w:val="32"/>
        </w:rPr>
        <w:t>（三）单项技能强化和综合训练</w:t>
      </w:r>
      <w:r>
        <w:tab/>
      </w:r>
      <w:r>
        <w:fldChar w:fldCharType="begin"/>
      </w:r>
      <w:r>
        <w:instrText xml:space="preserve"> PAGEREF _Toc78431536 \h </w:instrText>
      </w:r>
      <w:r>
        <w:fldChar w:fldCharType="separate"/>
      </w:r>
      <w:r>
        <w:t>14</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"_Toc78431537" </w:instrText>
      </w:r>
      <w:r>
        <w:fldChar w:fldCharType="separate"/>
      </w:r>
      <w:r>
        <w:rPr>
          <w:rStyle w:val="32"/>
        </w:rPr>
        <w:t>（四）实践教学的管理</w:t>
      </w:r>
      <w:r>
        <w:tab/>
      </w:r>
      <w:r>
        <w:fldChar w:fldCharType="begin"/>
      </w:r>
      <w:r>
        <w:instrText xml:space="preserve"> PAGEREF _Toc78431537 \h </w:instrText>
      </w:r>
      <w:r>
        <w:fldChar w:fldCharType="separate"/>
      </w:r>
      <w:r>
        <w:t>14</w:t>
      </w:r>
      <w:r>
        <w:fldChar w:fldCharType="end"/>
      </w:r>
      <w:r>
        <w:fldChar w:fldCharType="end"/>
      </w:r>
    </w:p>
    <w:p>
      <w:pPr>
        <w:pStyle w:val="21"/>
        <w:tabs>
          <w:tab w:val="right" w:leader="dot" w:pos="8834"/>
        </w:tabs>
        <w:rPr>
          <w:rFonts w:asciiTheme="minorHAnsi" w:hAnsiTheme="minorHAnsi" w:eastAsiaTheme="minorEastAsia" w:cstheme="minorBidi"/>
          <w:kern w:val="2"/>
          <w:sz w:val="21"/>
        </w:rPr>
      </w:pPr>
      <w:r>
        <w:fldChar w:fldCharType="begin"/>
      </w:r>
      <w:r>
        <w:instrText xml:space="preserve"> HYPERLINK \l "_Toc78431538" </w:instrText>
      </w:r>
      <w:r>
        <w:fldChar w:fldCharType="separate"/>
      </w:r>
      <w:r>
        <w:rPr>
          <w:rStyle w:val="32"/>
          <w:rFonts w:ascii="黑体" w:hAnsi="黑体" w:eastAsia="黑体"/>
        </w:rPr>
        <w:t>四、职业分析与职业能力要求</w:t>
      </w:r>
      <w:r>
        <w:tab/>
      </w:r>
      <w:r>
        <w:fldChar w:fldCharType="begin"/>
      </w:r>
      <w:r>
        <w:instrText xml:space="preserve"> PAGEREF _Toc78431538 \h </w:instrText>
      </w:r>
      <w:r>
        <w:fldChar w:fldCharType="separate"/>
      </w:r>
      <w:r>
        <w:t>14</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"_Toc78431539" </w:instrText>
      </w:r>
      <w:r>
        <w:fldChar w:fldCharType="separate"/>
      </w:r>
      <w:r>
        <w:rPr>
          <w:rStyle w:val="32"/>
        </w:rPr>
        <w:t>（一）职业分析</w:t>
      </w:r>
      <w:r>
        <w:tab/>
      </w:r>
      <w:r>
        <w:fldChar w:fldCharType="begin"/>
      </w:r>
      <w:r>
        <w:instrText xml:space="preserve"> PAGEREF _Toc78431539 \h </w:instrText>
      </w:r>
      <w:r>
        <w:fldChar w:fldCharType="separate"/>
      </w:r>
      <w:r>
        <w:t>14</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"_Toc78431540" </w:instrText>
      </w:r>
      <w:r>
        <w:fldChar w:fldCharType="separate"/>
      </w:r>
      <w:r>
        <w:rPr>
          <w:rStyle w:val="32"/>
        </w:rPr>
        <w:t>（二）职业能力要求</w:t>
      </w:r>
      <w:r>
        <w:tab/>
      </w:r>
      <w:r>
        <w:fldChar w:fldCharType="begin"/>
      </w:r>
      <w:r>
        <w:instrText xml:space="preserve"> PAGEREF _Toc78431540 \h </w:instrText>
      </w:r>
      <w:r>
        <w:fldChar w:fldCharType="separate"/>
      </w:r>
      <w:r>
        <w:t>15</w:t>
      </w:r>
      <w:r>
        <w:fldChar w:fldCharType="end"/>
      </w:r>
      <w:r>
        <w:fldChar w:fldCharType="end"/>
      </w:r>
    </w:p>
    <w:p>
      <w:pPr>
        <w:pStyle w:val="21"/>
        <w:tabs>
          <w:tab w:val="right" w:leader="dot" w:pos="8834"/>
        </w:tabs>
        <w:rPr>
          <w:rFonts w:asciiTheme="minorHAnsi" w:hAnsiTheme="minorHAnsi" w:eastAsiaTheme="minorEastAsia" w:cstheme="minorBidi"/>
          <w:kern w:val="2"/>
          <w:sz w:val="21"/>
        </w:rPr>
      </w:pPr>
      <w:r>
        <w:fldChar w:fldCharType="begin"/>
      </w:r>
      <w:r>
        <w:instrText xml:space="preserve"> HYPERLINK \l "_Toc78431541" </w:instrText>
      </w:r>
      <w:r>
        <w:fldChar w:fldCharType="separate"/>
      </w:r>
      <w:r>
        <w:rPr>
          <w:rStyle w:val="32"/>
          <w:rFonts w:ascii="黑体" w:hAnsi="黑体" w:eastAsia="黑体"/>
        </w:rPr>
        <w:t>五、课程体系与教学进程安排（</w:t>
      </w:r>
      <w:r>
        <w:rPr>
          <w:rStyle w:val="32"/>
          <w:rFonts w:ascii="楷体_GB2312" w:eastAsia="楷体_GB2312"/>
        </w:rPr>
        <w:t>涉及课岗融合、课证融合</w:t>
      </w:r>
      <w:r>
        <w:rPr>
          <w:rStyle w:val="32"/>
          <w:rFonts w:ascii="黑体" w:hAnsi="黑体" w:eastAsia="黑体"/>
        </w:rPr>
        <w:t>）</w:t>
      </w:r>
      <w:r>
        <w:tab/>
      </w:r>
      <w:r>
        <w:fldChar w:fldCharType="begin"/>
      </w:r>
      <w:r>
        <w:instrText xml:space="preserve"> PAGEREF _Toc78431541 \h </w:instrText>
      </w:r>
      <w:r>
        <w:fldChar w:fldCharType="separate"/>
      </w:r>
      <w:r>
        <w:t>16</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"_Toc78431542" </w:instrText>
      </w:r>
      <w:r>
        <w:fldChar w:fldCharType="separate"/>
      </w:r>
      <w:r>
        <w:rPr>
          <w:rStyle w:val="32"/>
        </w:rPr>
        <w:t>（一）课程体系建设规划与建设思路</w:t>
      </w:r>
      <w:r>
        <w:tab/>
      </w:r>
      <w:r>
        <w:fldChar w:fldCharType="begin"/>
      </w:r>
      <w:r>
        <w:instrText xml:space="preserve"> PAGEREF _Toc78431542 \h </w:instrText>
      </w:r>
      <w:r>
        <w:fldChar w:fldCharType="separate"/>
      </w:r>
      <w:r>
        <w:t>16</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"_Toc78431543" </w:instrText>
      </w:r>
      <w:r>
        <w:fldChar w:fldCharType="separate"/>
      </w:r>
      <w:r>
        <w:rPr>
          <w:rStyle w:val="32"/>
        </w:rPr>
        <w:t>（二）课程结构与课程体系</w:t>
      </w:r>
      <w:r>
        <w:tab/>
      </w:r>
      <w:r>
        <w:fldChar w:fldCharType="begin"/>
      </w:r>
      <w:r>
        <w:instrText xml:space="preserve"> PAGEREF _Toc78431543 \h </w:instrText>
      </w:r>
      <w:r>
        <w:fldChar w:fldCharType="separate"/>
      </w:r>
      <w:r>
        <w:t>18</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"_Toc78431544" </w:instrText>
      </w:r>
      <w:r>
        <w:fldChar w:fldCharType="separate"/>
      </w:r>
      <w:r>
        <w:rPr>
          <w:rStyle w:val="32"/>
        </w:rPr>
        <w:t>（三）核心课程介绍</w:t>
      </w:r>
      <w:r>
        <w:tab/>
      </w:r>
      <w:r>
        <w:fldChar w:fldCharType="begin"/>
      </w:r>
      <w:r>
        <w:instrText xml:space="preserve"> PAGEREF _Toc78431544 \h </w:instrText>
      </w:r>
      <w:r>
        <w:fldChar w:fldCharType="separate"/>
      </w:r>
      <w:r>
        <w:t>35</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"_Toc78431545" </w:instrText>
      </w:r>
      <w:r>
        <w:fldChar w:fldCharType="separate"/>
      </w:r>
      <w:r>
        <w:rPr>
          <w:rStyle w:val="32"/>
        </w:rPr>
        <w:t>（四）职业资格证书和“1+X”证书</w:t>
      </w:r>
      <w:r>
        <w:tab/>
      </w:r>
      <w:r>
        <w:fldChar w:fldCharType="begin"/>
      </w:r>
      <w:r>
        <w:instrText xml:space="preserve"> PAGEREF _Toc78431545 \h </w:instrText>
      </w:r>
      <w:r>
        <w:fldChar w:fldCharType="separate"/>
      </w:r>
      <w:r>
        <w:t>37</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"_Toc78431546" </w:instrText>
      </w:r>
      <w:r>
        <w:fldChar w:fldCharType="separate"/>
      </w:r>
      <w:r>
        <w:rPr>
          <w:rStyle w:val="32"/>
        </w:rPr>
        <w:t>（五）考试考核与毕业要求</w:t>
      </w:r>
      <w:r>
        <w:tab/>
      </w:r>
      <w:r>
        <w:fldChar w:fldCharType="begin"/>
      </w:r>
      <w:r>
        <w:instrText xml:space="preserve"> PAGEREF _Toc78431546 \h </w:instrText>
      </w:r>
      <w:r>
        <w:fldChar w:fldCharType="separate"/>
      </w:r>
      <w:r>
        <w:t>37</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"_Toc78431547" </w:instrText>
      </w:r>
      <w:r>
        <w:fldChar w:fldCharType="separate"/>
      </w:r>
      <w:r>
        <w:rPr>
          <w:rStyle w:val="32"/>
        </w:rPr>
        <w:t>（六）教学实施建议</w:t>
      </w:r>
      <w:r>
        <w:tab/>
      </w:r>
      <w:r>
        <w:fldChar w:fldCharType="begin"/>
      </w:r>
      <w:r>
        <w:instrText xml:space="preserve"> PAGEREF _Toc78431547 \h </w:instrText>
      </w:r>
      <w:r>
        <w:fldChar w:fldCharType="separate"/>
      </w:r>
      <w:r>
        <w:t>37</w:t>
      </w:r>
      <w:r>
        <w:fldChar w:fldCharType="end"/>
      </w:r>
      <w:r>
        <w:fldChar w:fldCharType="end"/>
      </w:r>
    </w:p>
    <w:p>
      <w:pPr>
        <w:pStyle w:val="17"/>
        <w:tabs>
          <w:tab w:val="right" w:leader="dot" w:pos="8834"/>
        </w:tabs>
        <w:rPr>
          <w:rFonts w:asciiTheme="minorHAnsi" w:hAnsiTheme="minorHAnsi" w:eastAsiaTheme="minorEastAsia" w:cstheme="minorBidi"/>
          <w:kern w:val="2"/>
          <w:sz w:val="21"/>
        </w:rPr>
      </w:pPr>
      <w:r>
        <w:fldChar w:fldCharType="begin"/>
      </w:r>
      <w:r>
        <w:instrText xml:space="preserve"> HYPERLINK \l "_Toc78431548" </w:instrText>
      </w:r>
      <w:r>
        <w:fldChar w:fldCharType="separate"/>
      </w:r>
      <w:r>
        <w:rPr>
          <w:rStyle w:val="32"/>
          <w:rFonts w:ascii="黑体" w:eastAsia="黑体"/>
        </w:rPr>
        <w:t>第三部分 附件及附表</w:t>
      </w:r>
      <w:r>
        <w:tab/>
      </w:r>
      <w:r>
        <w:fldChar w:fldCharType="begin"/>
      </w:r>
      <w:r>
        <w:instrText xml:space="preserve"> PAGEREF _Toc78431548 \h </w:instrText>
      </w:r>
      <w:r>
        <w:fldChar w:fldCharType="separate"/>
      </w:r>
      <w:r>
        <w:t>40</w:t>
      </w:r>
      <w:r>
        <w:fldChar w:fldCharType="end"/>
      </w:r>
      <w:r>
        <w:fldChar w:fldCharType="end"/>
      </w:r>
    </w:p>
    <w:p>
      <w:pPr>
        <w:pStyle w:val="17"/>
        <w:tabs>
          <w:tab w:val="right" w:leader="dot" w:pos="8834"/>
        </w:tabs>
        <w:rPr>
          <w:rFonts w:asciiTheme="minorHAnsi" w:hAnsiTheme="minorHAnsi" w:eastAsiaTheme="minorEastAsia" w:cstheme="minorBidi"/>
          <w:kern w:val="2"/>
          <w:sz w:val="21"/>
        </w:rPr>
      </w:pPr>
      <w:r>
        <w:fldChar w:fldCharType="begin"/>
      </w:r>
      <w:r>
        <w:instrText xml:space="preserve"> HYPERLINK \l "_Toc78431549" </w:instrText>
      </w:r>
      <w:r>
        <w:fldChar w:fldCharType="separate"/>
      </w:r>
      <w:r>
        <w:rPr>
          <w:rStyle w:val="32"/>
          <w:rFonts w:ascii="黑体" w:eastAsia="黑体"/>
        </w:rPr>
        <w:t>附件</w:t>
      </w:r>
      <w:r>
        <w:tab/>
      </w:r>
      <w:r>
        <w:fldChar w:fldCharType="begin"/>
      </w:r>
      <w:r>
        <w:instrText xml:space="preserve"> PAGEREF _Toc78431549 \h </w:instrText>
      </w:r>
      <w:r>
        <w:fldChar w:fldCharType="separate"/>
      </w:r>
      <w:r>
        <w:t>40</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"_Toc78431550" </w:instrText>
      </w:r>
      <w:r>
        <w:fldChar w:fldCharType="separate"/>
      </w:r>
      <w:r>
        <w:rPr>
          <w:rStyle w:val="32"/>
        </w:rPr>
        <w:t>1．</w:t>
      </w:r>
      <w:r>
        <w:rPr>
          <w:rStyle w:val="32"/>
          <w:rFonts w:ascii="宋体" w:hAnsi="宋体"/>
        </w:rPr>
        <w:t>金融科技应用专业人才规格手册</w:t>
      </w:r>
      <w:r>
        <w:tab/>
      </w:r>
      <w:r>
        <w:fldChar w:fldCharType="begin"/>
      </w:r>
      <w:r>
        <w:instrText xml:space="preserve"> PAGEREF _Toc78431550 \h </w:instrText>
      </w:r>
      <w:r>
        <w:fldChar w:fldCharType="separate"/>
      </w:r>
      <w:r>
        <w:t>40</w:t>
      </w:r>
      <w:r>
        <w:fldChar w:fldCharType="end"/>
      </w:r>
      <w:r>
        <w:fldChar w:fldCharType="end"/>
      </w:r>
    </w:p>
    <w:p>
      <w:pPr>
        <w:pStyle w:val="21"/>
        <w:tabs>
          <w:tab w:val="right" w:leader="dot" w:pos="8834"/>
        </w:tabs>
        <w:rPr>
          <w:rFonts w:asciiTheme="minorHAnsi" w:hAnsiTheme="minorHAnsi" w:eastAsiaTheme="minorEastAsia" w:cstheme="minorBidi"/>
          <w:kern w:val="2"/>
          <w:sz w:val="21"/>
        </w:rPr>
      </w:pPr>
      <w:r>
        <w:fldChar w:fldCharType="begin"/>
      </w:r>
      <w:r>
        <w:instrText xml:space="preserve"> HYPERLINK \l "_Toc78431551" </w:instrText>
      </w:r>
      <w:r>
        <w:fldChar w:fldCharType="separate"/>
      </w:r>
      <w:r>
        <w:rPr>
          <w:rStyle w:val="32"/>
          <w:rFonts w:ascii="黑体" w:eastAsia="黑体"/>
        </w:rPr>
        <w:t>附表</w:t>
      </w:r>
      <w:r>
        <w:tab/>
      </w:r>
      <w:r>
        <w:fldChar w:fldCharType="begin"/>
      </w:r>
      <w:r>
        <w:instrText xml:space="preserve"> PAGEREF _Toc78431551 \h </w:instrText>
      </w:r>
      <w:r>
        <w:fldChar w:fldCharType="separate"/>
      </w:r>
      <w:r>
        <w:t>40</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"_Toc78431552" </w:instrText>
      </w:r>
      <w:r>
        <w:fldChar w:fldCharType="separate"/>
      </w:r>
      <w:r>
        <w:rPr>
          <w:rStyle w:val="32"/>
        </w:rPr>
        <w:t>1．专业教学活动计划表</w:t>
      </w:r>
      <w:r>
        <w:tab/>
      </w:r>
      <w:r>
        <w:fldChar w:fldCharType="begin"/>
      </w:r>
      <w:r>
        <w:instrText xml:space="preserve"> PAGEREF _Toc78431552 \h </w:instrText>
      </w:r>
      <w:r>
        <w:fldChar w:fldCharType="separate"/>
      </w:r>
      <w:r>
        <w:t>40</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"_Toc78431553" </w:instrText>
      </w:r>
      <w:r>
        <w:fldChar w:fldCharType="separate"/>
      </w:r>
      <w:r>
        <w:rPr>
          <w:rStyle w:val="32"/>
        </w:rPr>
        <w:t>2．各类课程学时学分分配表</w:t>
      </w:r>
      <w:r>
        <w:tab/>
      </w:r>
      <w:r>
        <w:fldChar w:fldCharType="begin"/>
      </w:r>
      <w:r>
        <w:instrText xml:space="preserve"> PAGEREF _Toc78431553 \h </w:instrText>
      </w:r>
      <w:r>
        <w:fldChar w:fldCharType="separate"/>
      </w:r>
      <w:r>
        <w:t>40</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"_Toc78431554" </w:instrText>
      </w:r>
      <w:r>
        <w:fldChar w:fldCharType="separate"/>
      </w:r>
      <w:r>
        <w:rPr>
          <w:rStyle w:val="32"/>
        </w:rPr>
        <w:t>3．实践教学计划表</w:t>
      </w:r>
      <w:r>
        <w:tab/>
      </w:r>
      <w:r>
        <w:fldChar w:fldCharType="begin"/>
      </w:r>
      <w:r>
        <w:instrText xml:space="preserve"> PAGEREF _Toc78431554 \h </w:instrText>
      </w:r>
      <w:r>
        <w:fldChar w:fldCharType="separate"/>
      </w:r>
      <w:r>
        <w:t>40</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"_Toc78431555" </w:instrText>
      </w:r>
      <w:r>
        <w:fldChar w:fldCharType="separate"/>
      </w:r>
      <w:r>
        <w:rPr>
          <w:rStyle w:val="32"/>
        </w:rPr>
        <w:t>4．专业教学计划与教学进程表</w:t>
      </w:r>
      <w:r>
        <w:tab/>
      </w:r>
      <w:r>
        <w:fldChar w:fldCharType="begin"/>
      </w:r>
      <w:r>
        <w:instrText xml:space="preserve"> PAGEREF _Toc78431555 \h </w:instrText>
      </w:r>
      <w:r>
        <w:fldChar w:fldCharType="separate"/>
      </w:r>
      <w:r>
        <w:t>40</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"_Toc78431556" </w:instrText>
      </w:r>
      <w:r>
        <w:fldChar w:fldCharType="separate"/>
      </w:r>
      <w:r>
        <w:rPr>
          <w:rStyle w:val="32"/>
        </w:rPr>
        <w:t>5．素质教育活动学分分配表</w:t>
      </w:r>
      <w:r>
        <w:tab/>
      </w:r>
      <w:r>
        <w:fldChar w:fldCharType="begin"/>
      </w:r>
      <w:r>
        <w:instrText xml:space="preserve"> PAGEREF _Toc78431556 \h </w:instrText>
      </w:r>
      <w:r>
        <w:fldChar w:fldCharType="separate"/>
      </w:r>
      <w:r>
        <w:t>40</w:t>
      </w:r>
      <w:r>
        <w:fldChar w:fldCharType="end"/>
      </w:r>
      <w:r>
        <w:fldChar w:fldCharType="end"/>
      </w:r>
    </w:p>
    <w:p>
      <w:pPr>
        <w:pStyle w:val="10"/>
        <w:tabs>
          <w:tab w:val="right" w:leader="dot" w:pos="8834"/>
        </w:tabs>
        <w:rPr>
          <w:rFonts w:asciiTheme="minorHAnsi" w:hAnsiTheme="minorHAnsi" w:eastAsiaTheme="minorEastAsia" w:cstheme="minorBidi"/>
          <w:kern w:val="2"/>
          <w:sz w:val="21"/>
        </w:rPr>
      </w:pPr>
      <w:r>
        <w:fldChar w:fldCharType="begin"/>
      </w:r>
      <w:r>
        <w:instrText xml:space="preserve"> HYPERLINK \l "_Toc78431557" </w:instrText>
      </w:r>
      <w:r>
        <w:fldChar w:fldCharType="separate"/>
      </w:r>
      <w:r>
        <w:rPr>
          <w:rStyle w:val="32"/>
        </w:rPr>
        <w:t>6．劳动周时间分配表</w:t>
      </w:r>
      <w:r>
        <w:tab/>
      </w:r>
      <w:r>
        <w:fldChar w:fldCharType="begin"/>
      </w:r>
      <w:r>
        <w:instrText xml:space="preserve"> PAGEREF _Toc78431557 \h </w:instrText>
      </w:r>
      <w:r>
        <w:fldChar w:fldCharType="separate"/>
      </w:r>
      <w:r>
        <w:t>40</w:t>
      </w:r>
      <w:r>
        <w:fldChar w:fldCharType="end"/>
      </w:r>
      <w:r>
        <w:fldChar w:fldCharType="end"/>
      </w:r>
    </w:p>
    <w:p>
      <w:r>
        <w:rPr>
          <w:b/>
          <w:bCs/>
          <w:lang w:val="zh-CN"/>
        </w:rPr>
        <w:fldChar w:fldCharType="end"/>
      </w:r>
    </w:p>
    <w:p>
      <w:pPr>
        <w:jc w:val="center"/>
      </w:pPr>
    </w:p>
    <w:p>
      <w:pPr>
        <w:spacing w:line="240" w:lineRule="exact"/>
        <w:sectPr>
          <w:headerReference r:id="rId7" w:type="first"/>
          <w:footerReference r:id="rId8" w:type="first"/>
          <w:pgSz w:w="11906" w:h="16838"/>
          <w:pgMar w:top="1701" w:right="1361" w:bottom="1361" w:left="1701" w:header="851" w:footer="992" w:gutter="0"/>
          <w:pgNumType w:fmt="lowerRoman" w:start="1"/>
          <w:cols w:space="720" w:num="1"/>
          <w:titlePg/>
          <w:docGrid w:type="lines" w:linePitch="312" w:charSpace="0"/>
        </w:sectPr>
      </w:pPr>
    </w:p>
    <w:p>
      <w:pPr>
        <w:pStyle w:val="2"/>
        <w:jc w:val="center"/>
        <w:rPr>
          <w:rFonts w:ascii="黑体" w:eastAsia="黑体"/>
          <w:b w:val="0"/>
          <w:color w:val="000000"/>
          <w:sz w:val="24"/>
        </w:rPr>
      </w:pPr>
      <w:bookmarkStart w:id="0" w:name="_Toc14731"/>
      <w:bookmarkStart w:id="1" w:name="_Toc75253690"/>
      <w:bookmarkStart w:id="2" w:name="_Toc78431495"/>
      <w:r>
        <w:rPr>
          <w:rFonts w:hint="eastAsia" w:ascii="黑体" w:eastAsia="黑体"/>
          <w:b w:val="0"/>
          <w:color w:val="000000"/>
          <w:sz w:val="32"/>
          <w:szCs w:val="32"/>
        </w:rPr>
        <w:t>第一部分：专业设置</w:t>
      </w:r>
      <w:r>
        <w:rPr>
          <w:rFonts w:hint="eastAsia" w:ascii="黑体" w:eastAsia="黑体"/>
          <w:b w:val="0"/>
          <w:color w:val="000000"/>
          <w:sz w:val="28"/>
          <w:szCs w:val="28"/>
        </w:rPr>
        <w:t>与办学定位</w:t>
      </w:r>
      <w:bookmarkEnd w:id="0"/>
      <w:bookmarkEnd w:id="1"/>
      <w:bookmarkEnd w:id="2"/>
    </w:p>
    <w:p>
      <w:pPr>
        <w:pStyle w:val="3"/>
        <w:spacing w:line="415" w:lineRule="auto"/>
        <w:ind w:firstLine="480" w:firstLineChars="200"/>
        <w:rPr>
          <w:color w:val="FF0000"/>
          <w:sz w:val="24"/>
        </w:rPr>
      </w:pPr>
      <w:bookmarkStart w:id="3" w:name="_Toc75253691"/>
      <w:bookmarkStart w:id="4" w:name="_Toc5152"/>
      <w:bookmarkStart w:id="5" w:name="_Toc78431496"/>
      <w:r>
        <w:rPr>
          <w:rFonts w:hint="eastAsia" w:ascii="黑体" w:eastAsia="黑体"/>
          <w:b w:val="0"/>
          <w:color w:val="000000"/>
          <w:sz w:val="24"/>
        </w:rPr>
        <w:t>一、专业类别归属</w:t>
      </w:r>
      <w:bookmarkEnd w:id="3"/>
      <w:bookmarkEnd w:id="4"/>
      <w:bookmarkEnd w:id="5"/>
    </w:p>
    <w:p>
      <w:pPr>
        <w:spacing w:line="440" w:lineRule="exact"/>
        <w:ind w:firstLine="470" w:firstLineChars="196"/>
        <w:rPr>
          <w:rFonts w:ascii="宋体" w:hAnsi="宋体"/>
          <w:color w:val="000000"/>
          <w:sz w:val="24"/>
        </w:rPr>
      </w:pPr>
      <w:r>
        <w:rPr>
          <w:rFonts w:hint="eastAsia" w:ascii="宋体" w:hAnsi="宋体"/>
          <w:color w:val="000000"/>
          <w:sz w:val="24"/>
        </w:rPr>
        <w:t>对应国家《高职高专专业目录》对该专业岗位的设置要求说明下列内容：</w:t>
      </w:r>
    </w:p>
    <w:p>
      <w:pPr>
        <w:pStyle w:val="4"/>
        <w:spacing w:line="415" w:lineRule="auto"/>
        <w:ind w:firstLine="480" w:firstLineChars="200"/>
        <w:rPr>
          <w:rFonts w:ascii="楷体_GB2312" w:eastAsia="楷体_GB2312"/>
          <w:b w:val="0"/>
          <w:color w:val="000000"/>
          <w:sz w:val="24"/>
        </w:rPr>
      </w:pPr>
      <w:bookmarkStart w:id="6" w:name="_Toc78431497"/>
      <w:bookmarkStart w:id="7" w:name="_Toc75253692"/>
      <w:bookmarkStart w:id="8" w:name="_Toc16257"/>
      <w:r>
        <w:rPr>
          <w:rFonts w:hint="eastAsia" w:ascii="楷体_GB2312" w:eastAsia="楷体_GB2312"/>
          <w:b w:val="0"/>
          <w:color w:val="000000"/>
          <w:sz w:val="24"/>
        </w:rPr>
        <w:t>（一）专业归属类别</w:t>
      </w:r>
      <w:bookmarkEnd w:id="6"/>
      <w:bookmarkEnd w:id="7"/>
      <w:bookmarkEnd w:id="8"/>
    </w:p>
    <w:p>
      <w:pPr>
        <w:spacing w:line="440" w:lineRule="exact"/>
        <w:ind w:firstLine="470" w:firstLineChars="196"/>
        <w:rPr>
          <w:color w:val="000000"/>
          <w:sz w:val="24"/>
        </w:rPr>
      </w:pPr>
      <w:r>
        <w:rPr>
          <w:color w:val="000000"/>
          <w:sz w:val="24"/>
        </w:rPr>
        <w:t>1</w:t>
      </w:r>
      <w:r>
        <w:rPr>
          <w:rFonts w:hint="eastAsia"/>
          <w:color w:val="000000"/>
          <w:sz w:val="24"/>
        </w:rPr>
        <w:t>．</w:t>
      </w:r>
      <w:r>
        <w:rPr>
          <w:rFonts w:hAnsi="宋体"/>
          <w:color w:val="000000"/>
          <w:sz w:val="24"/>
        </w:rPr>
        <w:t>专业名称</w:t>
      </w:r>
      <w:r>
        <w:rPr>
          <w:rFonts w:hint="eastAsia" w:hAnsi="宋体"/>
          <w:color w:val="000000"/>
          <w:sz w:val="24"/>
        </w:rPr>
        <w:t>：金融科技应用</w:t>
      </w:r>
    </w:p>
    <w:p>
      <w:pPr>
        <w:spacing w:line="440" w:lineRule="exact"/>
        <w:ind w:firstLine="470" w:firstLineChars="196"/>
        <w:rPr>
          <w:color w:val="000000"/>
          <w:sz w:val="24"/>
        </w:rPr>
      </w:pPr>
      <w:r>
        <w:rPr>
          <w:color w:val="000000"/>
          <w:sz w:val="24"/>
        </w:rPr>
        <w:t>2</w:t>
      </w:r>
      <w:r>
        <w:rPr>
          <w:rFonts w:hint="eastAsia"/>
          <w:color w:val="000000"/>
          <w:sz w:val="24"/>
        </w:rPr>
        <w:t>．</w:t>
      </w:r>
      <w:r>
        <w:rPr>
          <w:rFonts w:hAnsi="宋体"/>
          <w:color w:val="000000"/>
          <w:sz w:val="24"/>
        </w:rPr>
        <w:t>专业代码</w:t>
      </w:r>
      <w:r>
        <w:rPr>
          <w:rFonts w:hint="eastAsia" w:hAnsi="宋体"/>
          <w:color w:val="000000"/>
          <w:sz w:val="24"/>
        </w:rPr>
        <w:t>：5</w:t>
      </w:r>
      <w:r>
        <w:rPr>
          <w:rFonts w:hAnsi="宋体"/>
          <w:color w:val="000000"/>
          <w:sz w:val="24"/>
        </w:rPr>
        <w:t>30202</w:t>
      </w:r>
    </w:p>
    <w:p>
      <w:pPr>
        <w:spacing w:line="440" w:lineRule="exact"/>
        <w:ind w:firstLine="470" w:firstLineChars="196"/>
        <w:rPr>
          <w:rFonts w:hAnsi="宋体"/>
          <w:color w:val="000000"/>
          <w:sz w:val="24"/>
        </w:rPr>
      </w:pPr>
      <w:r>
        <w:rPr>
          <w:color w:val="000000"/>
          <w:sz w:val="24"/>
        </w:rPr>
        <w:t>3</w:t>
      </w:r>
      <w:r>
        <w:rPr>
          <w:rFonts w:hint="eastAsia"/>
          <w:color w:val="000000"/>
          <w:sz w:val="24"/>
        </w:rPr>
        <w:t>．</w:t>
      </w:r>
      <w:r>
        <w:rPr>
          <w:rFonts w:hAnsi="宋体"/>
          <w:color w:val="000000"/>
          <w:sz w:val="24"/>
        </w:rPr>
        <w:t>归属类别</w:t>
      </w:r>
    </w:p>
    <w:p>
      <w:pPr>
        <w:spacing w:line="360" w:lineRule="exact"/>
        <w:ind w:firstLine="3472" w:firstLineChars="1647"/>
        <w:rPr>
          <w:rFonts w:ascii="宋体" w:hAnsi="宋体"/>
          <w:b/>
          <w:color w:val="000000"/>
          <w:szCs w:val="21"/>
        </w:rPr>
      </w:pPr>
      <w:r>
        <w:rPr>
          <w:rFonts w:hint="eastAsia" w:ascii="宋体" w:hAnsi="宋体"/>
          <w:b/>
          <w:color w:val="000000"/>
          <w:szCs w:val="21"/>
        </w:rPr>
        <w:t>表</w:t>
      </w:r>
      <w:r>
        <w:rPr>
          <w:rFonts w:ascii="宋体" w:hAnsi="宋体"/>
          <w:b/>
          <w:color w:val="000000"/>
          <w:szCs w:val="21"/>
        </w:rPr>
        <w:t xml:space="preserve">1 </w:t>
      </w:r>
      <w:r>
        <w:rPr>
          <w:rFonts w:hint="eastAsia" w:ascii="宋体" w:hAnsi="宋体"/>
          <w:b/>
          <w:color w:val="000000"/>
          <w:szCs w:val="21"/>
        </w:rPr>
        <w:t xml:space="preserve"> 专业归属类别</w:t>
      </w:r>
    </w:p>
    <w:tbl>
      <w:tblPr>
        <w:tblStyle w:val="26"/>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134"/>
        <w:gridCol w:w="1559"/>
        <w:gridCol w:w="1985"/>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4" w:type="dxa"/>
            <w:vAlign w:val="center"/>
          </w:tcPr>
          <w:p>
            <w:pPr>
              <w:jc w:val="center"/>
              <w:rPr>
                <w:rFonts w:ascii="宋体" w:hAnsi="宋体" w:cs="Tahoma"/>
                <w:b/>
                <w:bCs/>
                <w:color w:val="000000"/>
                <w:kern w:val="0"/>
                <w:szCs w:val="21"/>
              </w:rPr>
            </w:pPr>
            <w:r>
              <w:rPr>
                <w:rFonts w:hint="eastAsia" w:ascii="宋体" w:hAnsi="宋体" w:cs="Tahoma"/>
                <w:b/>
                <w:bCs/>
                <w:color w:val="000000"/>
                <w:kern w:val="0"/>
                <w:szCs w:val="21"/>
              </w:rPr>
              <w:t>专业类</w:t>
            </w:r>
          </w:p>
        </w:tc>
        <w:tc>
          <w:tcPr>
            <w:tcW w:w="1134" w:type="dxa"/>
            <w:vAlign w:val="center"/>
          </w:tcPr>
          <w:p>
            <w:pPr>
              <w:jc w:val="center"/>
              <w:rPr>
                <w:rFonts w:ascii="宋体" w:hAnsi="宋体" w:cs="Tahoma"/>
                <w:b/>
                <w:bCs/>
                <w:color w:val="000000"/>
                <w:kern w:val="0"/>
                <w:szCs w:val="21"/>
              </w:rPr>
            </w:pPr>
            <w:r>
              <w:rPr>
                <w:rFonts w:hint="eastAsia" w:ascii="宋体" w:hAnsi="宋体" w:cs="Tahoma"/>
                <w:b/>
                <w:bCs/>
                <w:color w:val="000000"/>
                <w:kern w:val="0"/>
                <w:szCs w:val="21"/>
              </w:rPr>
              <w:t>专业代码</w:t>
            </w:r>
          </w:p>
        </w:tc>
        <w:tc>
          <w:tcPr>
            <w:tcW w:w="1559" w:type="dxa"/>
            <w:vAlign w:val="center"/>
          </w:tcPr>
          <w:p>
            <w:pPr>
              <w:jc w:val="center"/>
              <w:rPr>
                <w:rFonts w:ascii="宋体" w:hAnsi="宋体" w:cs="Tahoma"/>
                <w:b/>
                <w:bCs/>
                <w:color w:val="000000"/>
                <w:kern w:val="0"/>
                <w:szCs w:val="21"/>
              </w:rPr>
            </w:pPr>
            <w:r>
              <w:rPr>
                <w:rFonts w:hint="eastAsia" w:ascii="宋体" w:hAnsi="宋体" w:cs="Tahoma"/>
                <w:b/>
                <w:bCs/>
                <w:color w:val="000000"/>
                <w:kern w:val="0"/>
                <w:szCs w:val="21"/>
              </w:rPr>
              <w:t>专业名称</w:t>
            </w:r>
          </w:p>
        </w:tc>
        <w:tc>
          <w:tcPr>
            <w:tcW w:w="1985" w:type="dxa"/>
            <w:vAlign w:val="center"/>
          </w:tcPr>
          <w:p>
            <w:pPr>
              <w:jc w:val="center"/>
              <w:rPr>
                <w:rFonts w:ascii="宋体" w:hAnsi="宋体" w:cs="Tahoma"/>
                <w:b/>
                <w:bCs/>
                <w:color w:val="000000"/>
                <w:kern w:val="0"/>
                <w:szCs w:val="21"/>
              </w:rPr>
            </w:pPr>
            <w:r>
              <w:rPr>
                <w:rFonts w:hint="eastAsia" w:ascii="宋体" w:hAnsi="宋体" w:cs="Tahoma"/>
                <w:b/>
                <w:bCs/>
                <w:color w:val="000000"/>
                <w:kern w:val="0"/>
                <w:szCs w:val="21"/>
              </w:rPr>
              <w:t>专业方向举例</w:t>
            </w:r>
          </w:p>
        </w:tc>
        <w:tc>
          <w:tcPr>
            <w:tcW w:w="2410" w:type="dxa"/>
            <w:vAlign w:val="center"/>
          </w:tcPr>
          <w:p>
            <w:pPr>
              <w:jc w:val="center"/>
              <w:rPr>
                <w:rFonts w:ascii="宋体" w:hAnsi="宋体" w:cs="Tahoma"/>
                <w:b/>
                <w:bCs/>
                <w:color w:val="000000"/>
                <w:kern w:val="0"/>
                <w:szCs w:val="21"/>
              </w:rPr>
            </w:pPr>
            <w:r>
              <w:rPr>
                <w:rFonts w:hint="eastAsia" w:ascii="宋体" w:hAnsi="宋体" w:cs="Tahoma"/>
                <w:b/>
                <w:bCs/>
                <w:color w:val="000000"/>
                <w:kern w:val="0"/>
                <w:szCs w:val="21"/>
              </w:rPr>
              <w:t>主要对应职业类别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4" w:type="dxa"/>
            <w:vAlign w:val="center"/>
          </w:tcPr>
          <w:p>
            <w:pPr>
              <w:jc w:val="left"/>
              <w:rPr>
                <w:rFonts w:ascii="宋体" w:hAnsi="宋体"/>
                <w:color w:val="000000"/>
                <w:szCs w:val="21"/>
              </w:rPr>
            </w:pPr>
            <w:r>
              <w:rPr>
                <w:rFonts w:ascii="宋体" w:hAnsi="宋体"/>
                <w:color w:val="000000"/>
                <w:szCs w:val="21"/>
              </w:rPr>
              <w:t>530</w:t>
            </w:r>
            <w:r>
              <w:rPr>
                <w:rFonts w:hint="eastAsia" w:ascii="宋体" w:hAnsi="宋体"/>
                <w:color w:val="000000"/>
                <w:szCs w:val="21"/>
              </w:rPr>
              <w:t>2金融类</w:t>
            </w:r>
          </w:p>
        </w:tc>
        <w:tc>
          <w:tcPr>
            <w:tcW w:w="1134" w:type="dxa"/>
            <w:vAlign w:val="center"/>
          </w:tcPr>
          <w:p>
            <w:pPr>
              <w:jc w:val="center"/>
              <w:rPr>
                <w:rFonts w:ascii="宋体" w:hAnsi="宋体"/>
                <w:color w:val="000000"/>
                <w:szCs w:val="21"/>
              </w:rPr>
            </w:pPr>
            <w:r>
              <w:rPr>
                <w:rFonts w:ascii="宋体" w:hAnsi="宋体" w:cs="Tahoma"/>
                <w:bCs/>
                <w:color w:val="000000"/>
                <w:kern w:val="0"/>
                <w:szCs w:val="21"/>
              </w:rPr>
              <w:t>530202</w:t>
            </w:r>
          </w:p>
        </w:tc>
        <w:tc>
          <w:tcPr>
            <w:tcW w:w="1559" w:type="dxa"/>
            <w:vAlign w:val="center"/>
          </w:tcPr>
          <w:p>
            <w:pPr>
              <w:widowControl/>
              <w:jc w:val="left"/>
              <w:rPr>
                <w:rFonts w:ascii="宋体" w:hAnsi="宋体"/>
                <w:color w:val="000000"/>
                <w:kern w:val="0"/>
                <w:szCs w:val="21"/>
              </w:rPr>
            </w:pPr>
            <w:r>
              <w:rPr>
                <w:rFonts w:hint="eastAsia" w:ascii="宋体" w:hAnsi="宋体"/>
                <w:color w:val="000000"/>
                <w:kern w:val="0"/>
                <w:szCs w:val="21"/>
              </w:rPr>
              <w:t>金融科技应用</w:t>
            </w:r>
          </w:p>
        </w:tc>
        <w:tc>
          <w:tcPr>
            <w:tcW w:w="1985" w:type="dxa"/>
            <w:vAlign w:val="center"/>
          </w:tcPr>
          <w:p>
            <w:pPr>
              <w:rPr>
                <w:rFonts w:ascii="宋体" w:hAnsi="宋体"/>
                <w:color w:val="000000"/>
                <w:kern w:val="0"/>
                <w:szCs w:val="21"/>
              </w:rPr>
            </w:pPr>
            <w:r>
              <w:rPr>
                <w:rFonts w:hint="eastAsia" w:ascii="宋体" w:hAnsi="宋体"/>
                <w:color w:val="000000"/>
                <w:kern w:val="0"/>
                <w:szCs w:val="21"/>
              </w:rPr>
              <w:t>证券投资与理财</w:t>
            </w:r>
          </w:p>
          <w:p>
            <w:pPr>
              <w:rPr>
                <w:rFonts w:ascii="宋体" w:hAnsi="宋体"/>
                <w:color w:val="000000"/>
                <w:kern w:val="0"/>
                <w:szCs w:val="21"/>
              </w:rPr>
            </w:pPr>
            <w:r>
              <w:rPr>
                <w:rFonts w:hint="eastAsia" w:ascii="宋体" w:hAnsi="宋体"/>
                <w:color w:val="000000"/>
                <w:kern w:val="0"/>
                <w:szCs w:val="21"/>
              </w:rPr>
              <w:t>证券营销与销售</w:t>
            </w:r>
          </w:p>
          <w:p>
            <w:pPr>
              <w:rPr>
                <w:rFonts w:ascii="宋体" w:hAnsi="宋体"/>
                <w:color w:val="000000"/>
                <w:kern w:val="0"/>
                <w:szCs w:val="21"/>
              </w:rPr>
            </w:pPr>
            <w:r>
              <w:rPr>
                <w:rFonts w:hint="eastAsia" w:ascii="宋体" w:hAnsi="宋体"/>
                <w:color w:val="000000"/>
                <w:kern w:val="0"/>
                <w:szCs w:val="21"/>
              </w:rPr>
              <w:t>大数据征信</w:t>
            </w:r>
          </w:p>
          <w:p>
            <w:pPr>
              <w:rPr>
                <w:rFonts w:hint="eastAsia" w:ascii="宋体" w:hAnsi="宋体"/>
                <w:color w:val="000000"/>
                <w:kern w:val="0"/>
                <w:szCs w:val="21"/>
              </w:rPr>
            </w:pPr>
            <w:r>
              <w:rPr>
                <w:rFonts w:hint="eastAsia" w:ascii="宋体" w:hAnsi="宋体"/>
                <w:color w:val="000000"/>
                <w:kern w:val="0"/>
                <w:szCs w:val="21"/>
              </w:rPr>
              <w:t>银行业务实务</w:t>
            </w:r>
          </w:p>
        </w:tc>
        <w:tc>
          <w:tcPr>
            <w:tcW w:w="2410"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证券投资与理财顾问</w:t>
            </w:r>
          </w:p>
          <w:p>
            <w:pPr>
              <w:widowControl/>
              <w:jc w:val="left"/>
              <w:rPr>
                <w:rFonts w:ascii="宋体" w:hAnsi="宋体"/>
                <w:color w:val="000000"/>
                <w:kern w:val="0"/>
                <w:szCs w:val="21"/>
              </w:rPr>
            </w:pPr>
            <w:r>
              <w:rPr>
                <w:rFonts w:hint="eastAsia" w:ascii="宋体" w:hAnsi="宋体"/>
                <w:color w:val="000000"/>
                <w:kern w:val="0"/>
                <w:szCs w:val="21"/>
              </w:rPr>
              <w:t>投资公司理财顾问</w:t>
            </w:r>
          </w:p>
          <w:p>
            <w:pPr>
              <w:widowControl/>
              <w:jc w:val="left"/>
              <w:rPr>
                <w:rFonts w:hint="eastAsia" w:ascii="宋体" w:hAnsi="宋体"/>
                <w:color w:val="000000"/>
                <w:kern w:val="0"/>
                <w:szCs w:val="21"/>
              </w:rPr>
            </w:pPr>
            <w:r>
              <w:rPr>
                <w:rFonts w:hint="eastAsia" w:ascii="宋体" w:hAnsi="宋体"/>
                <w:color w:val="000000"/>
                <w:kern w:val="0"/>
                <w:szCs w:val="21"/>
              </w:rPr>
              <w:t>金融产品营销</w:t>
            </w:r>
          </w:p>
          <w:p>
            <w:pPr>
              <w:widowControl/>
              <w:jc w:val="left"/>
              <w:rPr>
                <w:rFonts w:hint="eastAsia" w:ascii="宋体" w:hAnsi="宋体"/>
                <w:color w:val="000000"/>
                <w:kern w:val="0"/>
                <w:szCs w:val="21"/>
              </w:rPr>
            </w:pPr>
            <w:r>
              <w:rPr>
                <w:rFonts w:hint="eastAsia" w:ascii="宋体" w:hAnsi="宋体"/>
                <w:color w:val="000000"/>
                <w:kern w:val="0"/>
                <w:szCs w:val="21"/>
              </w:rPr>
              <w:t>大数据征信专员</w:t>
            </w:r>
          </w:p>
          <w:p>
            <w:pPr>
              <w:widowControl/>
              <w:jc w:val="left"/>
              <w:rPr>
                <w:rFonts w:ascii="宋体" w:hAnsi="宋体"/>
                <w:color w:val="000000"/>
                <w:kern w:val="0"/>
                <w:szCs w:val="21"/>
              </w:rPr>
            </w:pPr>
            <w:r>
              <w:rPr>
                <w:rFonts w:hint="eastAsia" w:ascii="宋体" w:hAnsi="宋体"/>
                <w:color w:val="000000"/>
                <w:kern w:val="0"/>
                <w:szCs w:val="21"/>
              </w:rPr>
              <w:t>银行业务经理</w:t>
            </w:r>
          </w:p>
        </w:tc>
      </w:tr>
    </w:tbl>
    <w:p>
      <w:pPr>
        <w:spacing w:line="440" w:lineRule="exact"/>
        <w:ind w:firstLine="470" w:firstLineChars="196"/>
        <w:rPr>
          <w:rFonts w:hint="eastAsia"/>
          <w:color w:val="000000"/>
          <w:sz w:val="24"/>
        </w:rPr>
      </w:pPr>
    </w:p>
    <w:p>
      <w:pPr>
        <w:pStyle w:val="44"/>
        <w:ind w:firstLine="480"/>
      </w:pPr>
      <w:bookmarkStart w:id="9" w:name="_Toc31152"/>
      <w:bookmarkStart w:id="10" w:name="_Toc78431498"/>
      <w:bookmarkStart w:id="11" w:name="_Toc75253693"/>
      <w:r>
        <w:rPr>
          <w:rFonts w:hint="eastAsia"/>
        </w:rPr>
        <w:t>（二）人才培养目标和人才规格定位</w:t>
      </w:r>
      <w:bookmarkEnd w:id="9"/>
      <w:bookmarkEnd w:id="10"/>
      <w:bookmarkEnd w:id="11"/>
    </w:p>
    <w:p>
      <w:pPr>
        <w:spacing w:line="400" w:lineRule="exact"/>
        <w:ind w:firstLine="480" w:firstLineChars="200"/>
        <w:rPr>
          <w:rFonts w:ascii="宋体" w:hAnsi="宋体"/>
          <w:color w:val="000000"/>
          <w:sz w:val="24"/>
        </w:rPr>
      </w:pPr>
      <w:bookmarkStart w:id="12" w:name="_Toc512497253"/>
      <w:r>
        <w:rPr>
          <w:rFonts w:hint="eastAsia" w:ascii="宋体" w:hAnsi="宋体"/>
          <w:color w:val="000000"/>
          <w:sz w:val="24"/>
        </w:rPr>
        <w:t>1. 培养目标</w:t>
      </w:r>
      <w:bookmarkEnd w:id="12"/>
    </w:p>
    <w:p>
      <w:pPr>
        <w:pStyle w:val="7"/>
        <w:spacing w:line="400" w:lineRule="exact"/>
        <w:ind w:firstLine="480" w:firstLineChars="200"/>
        <w:rPr>
          <w:rFonts w:ascii="宋体" w:hAnsi="宋体"/>
          <w:color w:val="000000"/>
          <w:sz w:val="24"/>
        </w:rPr>
      </w:pPr>
      <w:r>
        <w:rPr>
          <w:rFonts w:hint="eastAsia" w:ascii="宋体" w:hAnsi="宋体"/>
          <w:color w:val="000000"/>
          <w:sz w:val="24"/>
        </w:rPr>
        <w:t>培养思想政治坚定、德技并修，适应区域经济对金融科技类专业人才需要，</w:t>
      </w:r>
      <w:bookmarkStart w:id="13" w:name="_Toc512497254"/>
      <w:r>
        <w:rPr>
          <w:rFonts w:hint="eastAsia" w:ascii="宋体" w:hAnsi="宋体"/>
          <w:color w:val="000000"/>
          <w:sz w:val="24"/>
        </w:rPr>
        <w:t>主要培养学生具备扎实经济金融理论与实务操作、具备互联网思维，能够综合运用计算机技术、大数据分析、人工智能和区块链等科技手段解决金融行业存在的痛点，重点培养证券营销与销售、证券投资与理财、大数据征信三类专业技能，使学生既能具有全球视野，系统掌握经济金融学和现代信息科技理论知识，熟悉金融实务操作，熟练掌握信息科技和智能技术，具有较强的实践能力和创新精神，能够适应证券投资与理财、证券产品营销等领域需要的金融应用创新型人才。</w:t>
      </w:r>
    </w:p>
    <w:p>
      <w:pPr>
        <w:spacing w:line="400" w:lineRule="exact"/>
        <w:ind w:firstLine="480" w:firstLineChars="200"/>
        <w:rPr>
          <w:rFonts w:ascii="宋体" w:hAnsi="宋体"/>
          <w:color w:val="000000"/>
          <w:sz w:val="24"/>
        </w:rPr>
      </w:pPr>
      <w:r>
        <w:rPr>
          <w:rFonts w:hint="eastAsia" w:ascii="宋体" w:hAnsi="宋体"/>
          <w:color w:val="000000"/>
          <w:sz w:val="24"/>
        </w:rPr>
        <w:t>2. 培养规格</w:t>
      </w:r>
      <w:bookmarkEnd w:id="13"/>
    </w:p>
    <w:p>
      <w:pPr>
        <w:spacing w:line="440" w:lineRule="exact"/>
        <w:ind w:firstLine="470" w:firstLineChars="196"/>
        <w:rPr>
          <w:rFonts w:hint="eastAsia"/>
          <w:color w:val="000000"/>
          <w:sz w:val="24"/>
        </w:rPr>
      </w:pPr>
      <w:r>
        <w:rPr>
          <w:rFonts w:hint="eastAsia" w:ascii="宋体" w:hAnsi="宋体"/>
          <w:color w:val="000000"/>
          <w:sz w:val="24"/>
        </w:rPr>
        <w:t>通过</w:t>
      </w:r>
      <w:r>
        <w:rPr>
          <w:rFonts w:ascii="宋体" w:hAnsi="宋体"/>
          <w:color w:val="000000"/>
          <w:sz w:val="24"/>
        </w:rPr>
        <w:t>三年的学习，</w:t>
      </w:r>
      <w:r>
        <w:rPr>
          <w:rFonts w:hint="eastAsia" w:ascii="宋体" w:hAnsi="宋体"/>
          <w:color w:val="000000"/>
          <w:sz w:val="24"/>
        </w:rPr>
        <w:t>使学生掌握证券产品营销的核心技能，证券投资理财理论与实务，大数据分析与风控。能够胜任：证券投资与理财、证券产品营销核心岗位，对证券附属行业的银行业务经理和大数据征信专员也能够胜任。</w:t>
      </w:r>
    </w:p>
    <w:p>
      <w:pPr>
        <w:pStyle w:val="44"/>
        <w:ind w:firstLine="480"/>
      </w:pPr>
      <w:bookmarkStart w:id="14" w:name="_Toc78431499"/>
      <w:bookmarkStart w:id="15" w:name="_Toc75253694"/>
      <w:bookmarkStart w:id="16" w:name="_Toc3359"/>
      <w:r>
        <w:rPr>
          <w:rFonts w:hint="eastAsia"/>
        </w:rPr>
        <w:t>（三）专业的框架设置</w:t>
      </w:r>
      <w:bookmarkEnd w:id="14"/>
      <w:bookmarkEnd w:id="15"/>
      <w:bookmarkEnd w:id="16"/>
    </w:p>
    <w:p>
      <w:pPr>
        <w:spacing w:line="400" w:lineRule="exact"/>
        <w:ind w:firstLine="470" w:firstLineChars="196"/>
        <w:rPr>
          <w:rFonts w:hint="eastAsia"/>
        </w:rPr>
      </w:pPr>
      <w:r>
        <w:rPr>
          <w:rFonts w:hint="eastAsia" w:ascii="宋体" w:hAnsi="宋体"/>
          <w:color w:val="000000"/>
          <w:sz w:val="24"/>
        </w:rPr>
        <w:t>金融科技应用专业的框架设置主要面向金融科技类企业。学生毕业后主要对应的职业类别是：证券产品营销、投资与理财顾问、风险控制与大数据征信及银行业务经理等岗位。</w:t>
      </w:r>
      <w:bookmarkStart w:id="17" w:name="_Toc26635"/>
      <w:bookmarkStart w:id="18" w:name="_Toc75253695"/>
    </w:p>
    <w:p>
      <w:pPr>
        <w:pStyle w:val="44"/>
        <w:ind w:firstLine="480"/>
      </w:pPr>
      <w:bookmarkStart w:id="19" w:name="_Toc78431500"/>
      <w:r>
        <w:rPr>
          <w:rFonts w:hint="eastAsia"/>
        </w:rPr>
        <w:t>（四）开设的课程</w:t>
      </w:r>
      <w:bookmarkEnd w:id="17"/>
      <w:bookmarkEnd w:id="18"/>
      <w:bookmarkEnd w:id="19"/>
    </w:p>
    <w:p>
      <w:pPr>
        <w:spacing w:line="440" w:lineRule="exact"/>
        <w:ind w:firstLine="470" w:firstLineChars="196"/>
        <w:rPr>
          <w:color w:val="000000"/>
          <w:sz w:val="24"/>
        </w:rPr>
      </w:pPr>
      <w:r>
        <w:rPr>
          <w:rFonts w:hint="eastAsia"/>
          <w:color w:val="000000"/>
          <w:sz w:val="24"/>
        </w:rPr>
        <w:t>1．基本素质课程</w:t>
      </w:r>
    </w:p>
    <w:p>
      <w:pPr>
        <w:pStyle w:val="24"/>
        <w:shd w:val="clear" w:color="auto" w:fill="FFFFFF"/>
        <w:spacing w:before="0" w:beforeAutospacing="0" w:after="0" w:afterAutospacing="0" w:line="400" w:lineRule="exact"/>
        <w:ind w:firstLine="480" w:firstLineChars="200"/>
        <w:rPr>
          <w:rFonts w:hint="eastAsia"/>
        </w:rPr>
      </w:pPr>
      <w:r>
        <w:rPr>
          <w:rFonts w:hint="eastAsia" w:cs="Times New Roman"/>
          <w:color w:val="000000"/>
          <w:kern w:val="2"/>
        </w:rPr>
        <w:t>按照学院的基本素质课程体系开设，着重培养学生的通用能力。具体包括：思想道德修养与法律基础、形势与政策、毛泽东思想和中国特色社会主义理论体系概论、大学生心理健康教育、职业生涯规划、大学生创新思维与就业指导、中国传统文化、大学语文、体育与健康、大学英语、礼仪</w:t>
      </w:r>
      <w:r>
        <w:rPr>
          <w:rFonts w:cs="Times New Roman"/>
          <w:color w:val="000000"/>
          <w:kern w:val="2"/>
        </w:rPr>
        <w:t>、</w:t>
      </w:r>
      <w:r>
        <w:rPr>
          <w:rFonts w:hint="eastAsia" w:cs="Times New Roman"/>
          <w:color w:val="000000"/>
          <w:kern w:val="2"/>
        </w:rPr>
        <w:t>计算机应用基础共计</w:t>
      </w:r>
      <w:r>
        <w:rPr>
          <w:rFonts w:cs="Times New Roman"/>
          <w:color w:val="000000"/>
          <w:kern w:val="2"/>
        </w:rPr>
        <w:t>18</w:t>
      </w:r>
      <w:r>
        <w:rPr>
          <w:rFonts w:hint="eastAsia" w:cs="Times New Roman"/>
          <w:color w:val="000000"/>
          <w:kern w:val="2"/>
        </w:rPr>
        <w:t>门课程。</w:t>
      </w:r>
    </w:p>
    <w:p>
      <w:pPr>
        <w:spacing w:line="440" w:lineRule="exact"/>
        <w:ind w:firstLine="470" w:firstLineChars="196"/>
        <w:rPr>
          <w:color w:val="000000"/>
          <w:sz w:val="24"/>
        </w:rPr>
      </w:pPr>
      <w:r>
        <w:rPr>
          <w:rFonts w:hint="eastAsia"/>
          <w:color w:val="000000"/>
          <w:sz w:val="24"/>
        </w:rPr>
        <w:t>2．职业素质课程</w:t>
      </w:r>
    </w:p>
    <w:p>
      <w:pPr>
        <w:spacing w:line="440" w:lineRule="exact"/>
        <w:ind w:firstLine="470" w:firstLineChars="196"/>
        <w:rPr>
          <w:rFonts w:hint="eastAsia" w:ascii="宋体" w:hAnsi="宋体"/>
          <w:color w:val="000000"/>
          <w:sz w:val="24"/>
        </w:rPr>
      </w:pPr>
      <w:r>
        <w:rPr>
          <w:rFonts w:hint="eastAsia" w:ascii="宋体" w:hAnsi="宋体"/>
          <w:color w:val="000000"/>
          <w:sz w:val="24"/>
        </w:rPr>
        <w:t>本专业开设的职业素质课程包括公司理财、经济数学基础、经济学原理、金融服务营销、金融服务礼仪、客户关系管理、大数据分析、新媒体营销共计</w:t>
      </w:r>
      <w:r>
        <w:rPr>
          <w:rFonts w:ascii="宋体" w:hAnsi="宋体"/>
          <w:color w:val="000000"/>
          <w:sz w:val="24"/>
        </w:rPr>
        <w:t>8</w:t>
      </w:r>
      <w:r>
        <w:rPr>
          <w:rFonts w:hint="eastAsia" w:ascii="宋体" w:hAnsi="宋体"/>
          <w:color w:val="000000"/>
          <w:sz w:val="24"/>
        </w:rPr>
        <w:t>门课程。</w:t>
      </w:r>
    </w:p>
    <w:p>
      <w:pPr>
        <w:spacing w:line="440" w:lineRule="exact"/>
        <w:ind w:firstLine="470" w:firstLineChars="196"/>
        <w:rPr>
          <w:color w:val="000000"/>
          <w:sz w:val="24"/>
        </w:rPr>
      </w:pPr>
      <w:r>
        <w:rPr>
          <w:rFonts w:hint="eastAsia"/>
          <w:color w:val="000000"/>
          <w:sz w:val="24"/>
        </w:rPr>
        <w:t>3．职业技能课程</w:t>
      </w:r>
    </w:p>
    <w:p>
      <w:pPr>
        <w:spacing w:line="440" w:lineRule="exact"/>
        <w:ind w:firstLine="470" w:firstLineChars="196"/>
        <w:rPr>
          <w:rFonts w:hint="eastAsia" w:ascii="宋体" w:hAnsi="宋体" w:eastAsia="宋体"/>
          <w:color w:val="000000"/>
          <w:sz w:val="24"/>
          <w:lang w:eastAsia="zh-CN"/>
        </w:rPr>
      </w:pPr>
      <w:r>
        <w:rPr>
          <w:rFonts w:hint="eastAsia" w:ascii="宋体" w:hAnsi="宋体"/>
          <w:color w:val="000000"/>
          <w:sz w:val="24"/>
        </w:rPr>
        <w:t>本专业开设的职业技能课程包括互联网金融营销、金融市场学、金融科技概论、征信技术与实务、证券投资理论与实务、金融法律法规与风险管理共计6门课程</w:t>
      </w:r>
      <w:r>
        <w:rPr>
          <w:rFonts w:hint="eastAsia" w:ascii="宋体" w:hAnsi="宋体"/>
          <w:color w:val="000000"/>
          <w:sz w:val="24"/>
          <w:lang w:eastAsia="zh-CN"/>
        </w:rPr>
        <w:t>。</w:t>
      </w:r>
    </w:p>
    <w:p>
      <w:pPr>
        <w:spacing w:line="440" w:lineRule="exact"/>
        <w:ind w:firstLine="470" w:firstLineChars="196"/>
        <w:rPr>
          <w:color w:val="000000"/>
          <w:sz w:val="24"/>
        </w:rPr>
      </w:pPr>
      <w:r>
        <w:rPr>
          <w:rFonts w:hint="eastAsia"/>
          <w:color w:val="000000"/>
          <w:sz w:val="24"/>
        </w:rPr>
        <w:t>4．职业延展课程</w:t>
      </w:r>
    </w:p>
    <w:p>
      <w:pPr>
        <w:widowControl/>
        <w:shd w:val="clear" w:color="auto" w:fill="FFFFFF"/>
        <w:spacing w:line="400" w:lineRule="exact"/>
        <w:ind w:firstLine="480" w:firstLineChars="200"/>
        <w:jc w:val="left"/>
        <w:rPr>
          <w:rFonts w:hint="eastAsia"/>
          <w:color w:val="000000"/>
          <w:sz w:val="24"/>
        </w:rPr>
      </w:pPr>
      <w:r>
        <w:rPr>
          <w:rFonts w:hint="eastAsia" w:ascii="宋体" w:hAnsi="宋体"/>
          <w:color w:val="000000"/>
          <w:sz w:val="24"/>
        </w:rPr>
        <w:t>本专业开设的职业拓展课程包括文化素质选修课（选2门）。</w:t>
      </w:r>
    </w:p>
    <w:p>
      <w:pPr>
        <w:pStyle w:val="44"/>
        <w:ind w:firstLine="480"/>
      </w:pPr>
      <w:bookmarkStart w:id="20" w:name="_Toc75253696"/>
      <w:bookmarkStart w:id="21" w:name="_Toc17932"/>
      <w:bookmarkStart w:id="22" w:name="_Toc78431501"/>
      <w:r>
        <w:rPr>
          <w:rFonts w:hint="eastAsia"/>
        </w:rPr>
        <w:t>（五）知识素质体系要求</w:t>
      </w:r>
      <w:bookmarkEnd w:id="20"/>
      <w:bookmarkEnd w:id="21"/>
      <w:bookmarkEnd w:id="22"/>
    </w:p>
    <w:p>
      <w:pPr>
        <w:adjustRightInd w:val="0"/>
        <w:snapToGrid w:val="0"/>
        <w:spacing w:line="400" w:lineRule="exact"/>
        <w:ind w:firstLine="480" w:firstLineChars="200"/>
        <w:rPr>
          <w:rFonts w:hint="eastAsia" w:ascii="宋体" w:hAnsi="宋体"/>
          <w:b/>
          <w:color w:val="000000"/>
          <w:szCs w:val="21"/>
        </w:rPr>
      </w:pPr>
      <w:r>
        <w:rPr>
          <w:rFonts w:hint="eastAsia" w:ascii="宋体" w:hAnsi="宋体"/>
          <w:bCs/>
          <w:iCs/>
          <w:color w:val="000000"/>
          <w:sz w:val="24"/>
        </w:rPr>
        <w:t>1. 就业职业领域</w:t>
      </w:r>
    </w:p>
    <w:p>
      <w:pPr>
        <w:adjustRightInd w:val="0"/>
        <w:snapToGrid w:val="0"/>
        <w:spacing w:line="360" w:lineRule="exact"/>
        <w:ind w:firstLine="1476" w:firstLineChars="700"/>
        <w:rPr>
          <w:rFonts w:hint="eastAsia" w:ascii="宋体" w:hAnsi="宋体"/>
          <w:bCs/>
          <w:iCs/>
          <w:color w:val="000000"/>
          <w:sz w:val="24"/>
        </w:rPr>
      </w:pPr>
      <w:r>
        <w:rPr>
          <w:rFonts w:hint="eastAsia" w:ascii="宋体" w:hAnsi="宋体"/>
          <w:b/>
          <w:color w:val="000000"/>
          <w:szCs w:val="21"/>
        </w:rPr>
        <w:t>表</w:t>
      </w:r>
      <w:r>
        <w:rPr>
          <w:rFonts w:ascii="宋体" w:hAnsi="宋体"/>
          <w:b/>
          <w:color w:val="000000"/>
          <w:szCs w:val="21"/>
        </w:rPr>
        <w:t>2</w:t>
      </w:r>
      <w:r>
        <w:rPr>
          <w:rFonts w:hint="eastAsia" w:ascii="宋体" w:hAnsi="宋体" w:cs="宋体"/>
          <w:b/>
          <w:color w:val="000000"/>
          <w:kern w:val="0"/>
          <w:szCs w:val="21"/>
        </w:rPr>
        <w:t>职业岗位、就业范围、典型工作任务和专业课程</w:t>
      </w:r>
    </w:p>
    <w:tbl>
      <w:tblPr>
        <w:tblStyle w:val="26"/>
        <w:tblpPr w:leftFromText="180" w:rightFromText="180" w:vertAnchor="text" w:horzAnchor="page" w:tblpX="1546" w:tblpY="3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2443"/>
        <w:gridCol w:w="2268"/>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5" w:type="dxa"/>
            <w:shd w:val="clear" w:color="auto" w:fill="EFEFEF"/>
            <w:tcMar>
              <w:top w:w="20" w:type="dxa"/>
              <w:left w:w="20" w:type="dxa"/>
              <w:bottom w:w="20" w:type="dxa"/>
              <w:right w:w="20" w:type="dxa"/>
            </w:tcMar>
            <w:vAlign w:val="center"/>
          </w:tcPr>
          <w:p>
            <w:pPr>
              <w:snapToGrid w:val="0"/>
              <w:jc w:val="center"/>
              <w:rPr>
                <w:rFonts w:ascii="Times" w:hAnsi="Times" w:cs="Times"/>
                <w:color w:val="000000"/>
                <w:kern w:val="0"/>
                <w:sz w:val="20"/>
                <w:szCs w:val="20"/>
              </w:rPr>
            </w:pPr>
            <w:r>
              <w:rPr>
                <w:rFonts w:hint="eastAsia"/>
                <w:b/>
                <w:color w:val="000000"/>
                <w:szCs w:val="21"/>
              </w:rPr>
              <w:t>初始岗位</w:t>
            </w:r>
          </w:p>
        </w:tc>
        <w:tc>
          <w:tcPr>
            <w:tcW w:w="2443" w:type="dxa"/>
            <w:shd w:val="clear" w:color="auto" w:fill="EFEFEF"/>
            <w:tcMar>
              <w:top w:w="20" w:type="dxa"/>
              <w:left w:w="20" w:type="dxa"/>
              <w:bottom w:w="20" w:type="dxa"/>
              <w:right w:w="20" w:type="dxa"/>
            </w:tcMar>
            <w:vAlign w:val="center"/>
          </w:tcPr>
          <w:p>
            <w:pPr>
              <w:snapToGrid w:val="0"/>
              <w:jc w:val="center"/>
              <w:rPr>
                <w:b/>
                <w:color w:val="000000"/>
                <w:szCs w:val="21"/>
              </w:rPr>
            </w:pPr>
            <w:r>
              <w:rPr>
                <w:rFonts w:hint="eastAsia"/>
                <w:b/>
                <w:color w:val="000000"/>
                <w:szCs w:val="21"/>
              </w:rPr>
              <w:t>就业范围</w:t>
            </w:r>
          </w:p>
        </w:tc>
        <w:tc>
          <w:tcPr>
            <w:tcW w:w="2268" w:type="dxa"/>
            <w:shd w:val="clear" w:color="auto" w:fill="EFEFEF"/>
            <w:tcMar>
              <w:top w:w="20" w:type="dxa"/>
              <w:left w:w="20" w:type="dxa"/>
              <w:bottom w:w="20" w:type="dxa"/>
              <w:right w:w="20" w:type="dxa"/>
            </w:tcMar>
            <w:vAlign w:val="center"/>
          </w:tcPr>
          <w:p>
            <w:pPr>
              <w:snapToGrid w:val="0"/>
              <w:jc w:val="center"/>
              <w:rPr>
                <w:b/>
                <w:color w:val="000000"/>
                <w:szCs w:val="21"/>
              </w:rPr>
            </w:pPr>
            <w:r>
              <w:rPr>
                <w:rFonts w:hint="eastAsia" w:ascii="宋体" w:hAnsi="宋体"/>
                <w:b/>
                <w:color w:val="000000"/>
                <w:szCs w:val="21"/>
              </w:rPr>
              <w:t>典型业务工作</w:t>
            </w:r>
          </w:p>
        </w:tc>
        <w:tc>
          <w:tcPr>
            <w:tcW w:w="3084" w:type="dxa"/>
            <w:shd w:val="clear" w:color="auto" w:fill="EFEFEF"/>
            <w:vAlign w:val="center"/>
          </w:tcPr>
          <w:p>
            <w:pPr>
              <w:snapToGrid w:val="0"/>
              <w:jc w:val="center"/>
              <w:rPr>
                <w:rFonts w:ascii="Times" w:hAnsi="Times" w:cs="Times"/>
                <w:color w:val="000000"/>
                <w:kern w:val="0"/>
                <w:sz w:val="20"/>
                <w:szCs w:val="20"/>
              </w:rPr>
            </w:pPr>
            <w:r>
              <w:rPr>
                <w:rFonts w:hint="eastAsia" w:ascii="宋体" w:hAnsi="宋体"/>
                <w:b/>
                <w:color w:val="000000"/>
                <w:szCs w:val="21"/>
              </w:rPr>
              <w:t>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5" w:type="dxa"/>
            <w:shd w:val="clear" w:color="auto" w:fill="FFFFFF"/>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小额信贷渠道运营</w:t>
            </w:r>
          </w:p>
        </w:tc>
        <w:tc>
          <w:tcPr>
            <w:tcW w:w="2443" w:type="dxa"/>
            <w:tcMar>
              <w:top w:w="20" w:type="dxa"/>
              <w:left w:w="20" w:type="dxa"/>
              <w:bottom w:w="20" w:type="dxa"/>
              <w:right w:w="20" w:type="dxa"/>
            </w:tcMar>
            <w:vAlign w:val="center"/>
          </w:tcPr>
          <w:p>
            <w:pPr>
              <w:widowControl/>
              <w:autoSpaceDE w:val="0"/>
              <w:autoSpaceDN w:val="0"/>
              <w:adjustRightInd w:val="0"/>
              <w:jc w:val="center"/>
              <w:rPr>
                <w:rFonts w:hint="eastAsia" w:ascii="宋体" w:hAnsi="Times" w:cs="宋体"/>
                <w:color w:val="000000"/>
                <w:kern w:val="0"/>
                <w:sz w:val="20"/>
                <w:szCs w:val="20"/>
              </w:rPr>
            </w:pPr>
            <w:r>
              <w:rPr>
                <w:rFonts w:hint="eastAsia" w:ascii="宋体" w:hAnsi="Times" w:cs="宋体"/>
                <w:color w:val="000000"/>
                <w:kern w:val="0"/>
                <w:sz w:val="20"/>
                <w:szCs w:val="20"/>
              </w:rPr>
              <w:t>互联网小贷公司、银行、</w:t>
            </w:r>
          </w:p>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保险企业、券商</w:t>
            </w:r>
          </w:p>
        </w:tc>
        <w:tc>
          <w:tcPr>
            <w:tcW w:w="2268" w:type="dxa"/>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小额信贷的行业需求分析，用户特征调研，业务流程需求分析，产品设计</w:t>
            </w:r>
          </w:p>
        </w:tc>
        <w:tc>
          <w:tcPr>
            <w:tcW w:w="3084" w:type="dxa"/>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金融科技应用概论</w:t>
            </w:r>
          </w:p>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互联网金融法律法规与风险控制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5" w:type="dxa"/>
            <w:shd w:val="clear" w:color="auto" w:fill="FFFFFF"/>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理财平台</w:t>
            </w:r>
          </w:p>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投资经理</w:t>
            </w:r>
          </w:p>
          <w:p>
            <w:pPr>
              <w:widowControl/>
              <w:autoSpaceDE w:val="0"/>
              <w:autoSpaceDN w:val="0"/>
              <w:adjustRightInd w:val="0"/>
              <w:jc w:val="center"/>
              <w:rPr>
                <w:rFonts w:ascii="宋体" w:hAnsi="Times" w:cs="宋体"/>
                <w:color w:val="000000"/>
                <w:kern w:val="0"/>
                <w:sz w:val="20"/>
                <w:szCs w:val="20"/>
              </w:rPr>
            </w:pPr>
          </w:p>
        </w:tc>
        <w:tc>
          <w:tcPr>
            <w:tcW w:w="2443" w:type="dxa"/>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互联网理财平台、券商、</w:t>
            </w:r>
          </w:p>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其他金融中介</w:t>
            </w:r>
          </w:p>
        </w:tc>
        <w:tc>
          <w:tcPr>
            <w:tcW w:w="2268" w:type="dxa"/>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互联网理财平台的竞争对手情况调研，用户特征分析，基于用户反馈的产品设计和产品优化</w:t>
            </w:r>
          </w:p>
        </w:tc>
        <w:tc>
          <w:tcPr>
            <w:tcW w:w="3084" w:type="dxa"/>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金融市场学</w:t>
            </w:r>
          </w:p>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金融营销与产品销售</w:t>
            </w:r>
          </w:p>
          <w:p>
            <w:pPr>
              <w:widowControl/>
              <w:autoSpaceDE w:val="0"/>
              <w:autoSpaceDN w:val="0"/>
              <w:adjustRightInd w:val="0"/>
              <w:jc w:val="center"/>
              <w:rPr>
                <w:rFonts w:ascii="宋体" w:hAnsi="Times" w:cs="宋体"/>
                <w:color w:val="000000"/>
                <w:kern w:val="0"/>
                <w:sz w:val="20"/>
                <w:szCs w:val="20"/>
              </w:rPr>
            </w:pPr>
            <w:r>
              <w:rPr>
                <w:rFonts w:hint="eastAsia" w:ascii="宋体" w:hAnsi="宋体"/>
                <w:color w:val="000000"/>
              </w:rPr>
              <w:t>证券投资理论与实务</w:t>
            </w:r>
          </w:p>
          <w:p>
            <w:pPr>
              <w:widowControl/>
              <w:autoSpaceDE w:val="0"/>
              <w:autoSpaceDN w:val="0"/>
              <w:adjustRightInd w:val="0"/>
              <w:jc w:val="center"/>
              <w:rPr>
                <w:rFonts w:ascii="宋体" w:hAnsi="Time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5" w:type="dxa"/>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金融营销/客服专员</w:t>
            </w:r>
          </w:p>
        </w:tc>
        <w:tc>
          <w:tcPr>
            <w:tcW w:w="2443" w:type="dxa"/>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财富管理公司</w:t>
            </w:r>
          </w:p>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投资理财公司</w:t>
            </w:r>
          </w:p>
          <w:p>
            <w:pPr>
              <w:widowControl/>
              <w:autoSpaceDE w:val="0"/>
              <w:autoSpaceDN w:val="0"/>
              <w:adjustRightInd w:val="0"/>
              <w:jc w:val="center"/>
              <w:rPr>
                <w:rFonts w:hint="eastAsia" w:ascii="宋体" w:hAnsi="Times" w:cs="宋体"/>
                <w:color w:val="000000"/>
                <w:kern w:val="0"/>
                <w:sz w:val="20"/>
                <w:szCs w:val="20"/>
              </w:rPr>
            </w:pPr>
            <w:r>
              <w:rPr>
                <w:rFonts w:hint="eastAsia" w:ascii="宋体" w:hAnsi="Times" w:cs="宋体"/>
                <w:color w:val="000000"/>
                <w:kern w:val="0"/>
                <w:sz w:val="20"/>
                <w:szCs w:val="20"/>
              </w:rPr>
              <w:t>投资理财知识风险平台公司</w:t>
            </w:r>
          </w:p>
        </w:tc>
        <w:tc>
          <w:tcPr>
            <w:tcW w:w="2268" w:type="dxa"/>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互联网消费金融的产品营销策划，平台用户需求调研分析，业务活动策划和项目管理，金融信息传播渠道管理</w:t>
            </w:r>
          </w:p>
        </w:tc>
        <w:tc>
          <w:tcPr>
            <w:tcW w:w="3084" w:type="dxa"/>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宋体"/>
                <w:color w:val="000000"/>
              </w:rPr>
              <w:t>互联网金融营销</w:t>
            </w:r>
          </w:p>
          <w:p>
            <w:pPr>
              <w:widowControl/>
              <w:autoSpaceDE w:val="0"/>
              <w:autoSpaceDN w:val="0"/>
              <w:adjustRightInd w:val="0"/>
              <w:jc w:val="center"/>
              <w:rPr>
                <w:rFonts w:hint="eastAsia" w:ascii="宋体" w:hAnsi="Times" w:cs="宋体"/>
                <w:color w:val="000000"/>
                <w:kern w:val="0"/>
                <w:sz w:val="20"/>
                <w:szCs w:val="20"/>
              </w:rPr>
            </w:pPr>
            <w:r>
              <w:rPr>
                <w:rFonts w:hint="eastAsia" w:ascii="宋体" w:hAnsi="Times" w:cs="宋体"/>
                <w:color w:val="000000"/>
                <w:kern w:val="0"/>
                <w:sz w:val="20"/>
                <w:szCs w:val="20"/>
              </w:rPr>
              <w:t>证券投资理论与实务</w:t>
            </w:r>
          </w:p>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金融法律法规与风控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5" w:type="dxa"/>
            <w:shd w:val="clear" w:color="auto" w:fill="FFFFFF"/>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大数据征信</w:t>
            </w:r>
          </w:p>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专员</w:t>
            </w:r>
          </w:p>
        </w:tc>
        <w:tc>
          <w:tcPr>
            <w:tcW w:w="2443" w:type="dxa"/>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互联网小贷公司、金融大数据服务企业、银行等传统金融机构</w:t>
            </w:r>
          </w:p>
        </w:tc>
        <w:tc>
          <w:tcPr>
            <w:tcW w:w="2268" w:type="dxa"/>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风控数据采集，项目背景入户尽职调查，客户信息采集，客户回访</w:t>
            </w:r>
          </w:p>
        </w:tc>
        <w:tc>
          <w:tcPr>
            <w:tcW w:w="3084" w:type="dxa"/>
            <w:vAlign w:val="center"/>
          </w:tcPr>
          <w:p>
            <w:pPr>
              <w:widowControl/>
              <w:autoSpaceDE w:val="0"/>
              <w:autoSpaceDN w:val="0"/>
              <w:adjustRightInd w:val="0"/>
              <w:jc w:val="center"/>
              <w:rPr>
                <w:rFonts w:ascii="宋体" w:hAnsi="宋体"/>
                <w:color w:val="000000"/>
              </w:rPr>
            </w:pPr>
            <w:r>
              <w:rPr>
                <w:rFonts w:hint="eastAsia" w:ascii="宋体" w:hAnsi="宋体"/>
                <w:color w:val="000000"/>
              </w:rPr>
              <w:t>征信技术与实务</w:t>
            </w:r>
          </w:p>
          <w:p>
            <w:pPr>
              <w:widowControl/>
              <w:autoSpaceDE w:val="0"/>
              <w:autoSpaceDN w:val="0"/>
              <w:adjustRightInd w:val="0"/>
              <w:jc w:val="center"/>
              <w:rPr>
                <w:rFonts w:ascii="宋体" w:hAnsi="宋体"/>
                <w:color w:val="000000"/>
              </w:rPr>
            </w:pPr>
            <w:r>
              <w:rPr>
                <w:rFonts w:hint="eastAsia" w:ascii="宋体" w:hAnsi="宋体"/>
                <w:color w:val="000000"/>
              </w:rPr>
              <w:t>金融数据统计分析</w:t>
            </w:r>
          </w:p>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金融法律法规与风险控制</w:t>
            </w:r>
          </w:p>
          <w:p>
            <w:pPr>
              <w:widowControl/>
              <w:autoSpaceDE w:val="0"/>
              <w:autoSpaceDN w:val="0"/>
              <w:adjustRightInd w:val="0"/>
              <w:jc w:val="center"/>
              <w:rPr>
                <w:rFonts w:ascii="宋体" w:hAnsi="Times"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5" w:type="dxa"/>
            <w:shd w:val="clear" w:color="auto" w:fill="FFFFFF"/>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互联网金融运营与管理总监</w:t>
            </w:r>
          </w:p>
        </w:tc>
        <w:tc>
          <w:tcPr>
            <w:tcW w:w="2443" w:type="dxa"/>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互联网小贷公司、开展消费金融、供应链金融、财富管理企业、银行、保险、券商等传统金融机构</w:t>
            </w:r>
          </w:p>
        </w:tc>
        <w:tc>
          <w:tcPr>
            <w:tcW w:w="2268" w:type="dxa"/>
            <w:tcMar>
              <w:top w:w="20" w:type="dxa"/>
              <w:left w:w="20" w:type="dxa"/>
              <w:bottom w:w="20" w:type="dxa"/>
              <w:right w:w="20" w:type="dxa"/>
            </w:tcMar>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传统金融企业对接，</w:t>
            </w:r>
          </w:p>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资金资源商务拓展，</w:t>
            </w:r>
          </w:p>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金融业务合作机会挖掘</w:t>
            </w:r>
          </w:p>
        </w:tc>
        <w:tc>
          <w:tcPr>
            <w:tcW w:w="3084" w:type="dxa"/>
            <w:vAlign w:val="center"/>
          </w:tcPr>
          <w:p>
            <w:pPr>
              <w:widowControl/>
              <w:autoSpaceDE w:val="0"/>
              <w:autoSpaceDN w:val="0"/>
              <w:adjustRightInd w:val="0"/>
              <w:jc w:val="center"/>
              <w:rPr>
                <w:rFonts w:ascii="宋体" w:hAnsi="Times" w:cs="宋体"/>
                <w:color w:val="000000"/>
                <w:kern w:val="0"/>
                <w:sz w:val="20"/>
                <w:szCs w:val="20"/>
              </w:rPr>
            </w:pPr>
            <w:r>
              <w:rPr>
                <w:rFonts w:hint="eastAsia" w:ascii="宋体" w:hAnsi="Times" w:cs="宋体"/>
                <w:color w:val="000000"/>
                <w:kern w:val="0"/>
                <w:sz w:val="20"/>
                <w:szCs w:val="20"/>
              </w:rPr>
              <w:t>金融科技应用概论</w:t>
            </w:r>
          </w:p>
          <w:p>
            <w:pPr>
              <w:widowControl/>
              <w:autoSpaceDE w:val="0"/>
              <w:autoSpaceDN w:val="0"/>
              <w:adjustRightInd w:val="0"/>
              <w:jc w:val="center"/>
              <w:rPr>
                <w:rFonts w:hint="eastAsia" w:ascii="宋体" w:hAnsi="宋体"/>
                <w:color w:val="000000"/>
              </w:rPr>
            </w:pPr>
            <w:r>
              <w:rPr>
                <w:rFonts w:hint="eastAsia" w:ascii="宋体" w:hAnsi="宋体"/>
                <w:color w:val="000000"/>
              </w:rPr>
              <w:t>证券投资理论与实务</w:t>
            </w:r>
          </w:p>
          <w:p>
            <w:pPr>
              <w:widowControl/>
              <w:autoSpaceDE w:val="0"/>
              <w:autoSpaceDN w:val="0"/>
              <w:adjustRightInd w:val="0"/>
              <w:jc w:val="center"/>
              <w:rPr>
                <w:rFonts w:ascii="宋体" w:hAnsi="Times" w:cs="宋体"/>
                <w:color w:val="000000"/>
                <w:kern w:val="0"/>
                <w:sz w:val="20"/>
                <w:szCs w:val="20"/>
              </w:rPr>
            </w:pPr>
            <w:r>
              <w:rPr>
                <w:rFonts w:hint="eastAsia" w:ascii="宋体" w:hAnsi="宋体"/>
                <w:color w:val="000000"/>
              </w:rPr>
              <w:t>互联网金融营销</w:t>
            </w:r>
          </w:p>
        </w:tc>
      </w:tr>
    </w:tbl>
    <w:p>
      <w:pPr>
        <w:spacing w:line="400" w:lineRule="exact"/>
        <w:rPr>
          <w:rFonts w:hint="eastAsia"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2.知识结构</w:t>
      </w:r>
    </w:p>
    <w:p>
      <w:pPr>
        <w:spacing w:line="400" w:lineRule="exact"/>
        <w:ind w:firstLine="480" w:firstLineChars="200"/>
        <w:rPr>
          <w:rFonts w:ascii="宋体" w:hAnsi="宋体"/>
          <w:color w:val="000000"/>
          <w:sz w:val="24"/>
        </w:rPr>
      </w:pPr>
      <w:r>
        <w:rPr>
          <w:rFonts w:hint="eastAsia" w:ascii="宋体" w:hAnsi="宋体"/>
          <w:color w:val="000000"/>
          <w:sz w:val="24"/>
        </w:rPr>
        <w:t>（1）具有</w:t>
      </w:r>
      <w:r>
        <w:rPr>
          <w:rFonts w:hint="eastAsia" w:ascii="宋体" w:hAnsi="宋体"/>
          <w:color w:val="000000"/>
          <w:sz w:val="24"/>
          <w:lang w:val="en-US" w:eastAsia="zh-CN"/>
        </w:rPr>
        <w:t>广博</w:t>
      </w:r>
      <w:r>
        <w:rPr>
          <w:rFonts w:hint="eastAsia" w:ascii="宋体" w:hAnsi="宋体"/>
          <w:color w:val="000000"/>
          <w:sz w:val="24"/>
        </w:rPr>
        <w:t>的人文社科知识和自然科学常识；</w:t>
      </w:r>
    </w:p>
    <w:p>
      <w:pPr>
        <w:spacing w:line="400" w:lineRule="exact"/>
        <w:ind w:firstLine="480" w:firstLineChars="200"/>
        <w:rPr>
          <w:rFonts w:ascii="宋体" w:hAnsi="宋体"/>
          <w:color w:val="000000"/>
          <w:sz w:val="24"/>
        </w:rPr>
      </w:pPr>
      <w:r>
        <w:rPr>
          <w:rFonts w:hint="eastAsia" w:ascii="宋体" w:hAnsi="宋体"/>
          <w:color w:val="000000"/>
          <w:sz w:val="24"/>
        </w:rPr>
        <w:t>（2）掌握较为扎实的统计学、经济学基础知识，掌握基本的数据分析与运用能力；</w:t>
      </w:r>
    </w:p>
    <w:p>
      <w:pPr>
        <w:spacing w:line="400" w:lineRule="exact"/>
        <w:ind w:firstLine="480" w:firstLineChars="200"/>
        <w:rPr>
          <w:rFonts w:ascii="宋体" w:hAnsi="宋体"/>
          <w:color w:val="000000"/>
          <w:sz w:val="24"/>
        </w:rPr>
      </w:pPr>
      <w:r>
        <w:rPr>
          <w:rFonts w:hint="eastAsia" w:ascii="宋体" w:hAnsi="宋体"/>
          <w:color w:val="000000"/>
          <w:sz w:val="24"/>
        </w:rPr>
        <w:t>（3）掌握互联网金融领域内的互联网支付、互联网营销、互联网借贷、众筹等特点及应用；</w:t>
      </w:r>
    </w:p>
    <w:p>
      <w:pPr>
        <w:spacing w:line="400" w:lineRule="exact"/>
        <w:ind w:firstLine="480" w:firstLineChars="200"/>
        <w:rPr>
          <w:rFonts w:ascii="宋体" w:hAnsi="宋体"/>
          <w:color w:val="000000"/>
          <w:sz w:val="24"/>
        </w:rPr>
      </w:pPr>
      <w:r>
        <w:rPr>
          <w:rFonts w:hint="eastAsia" w:ascii="宋体" w:hAnsi="宋体"/>
          <w:color w:val="000000"/>
          <w:sz w:val="24"/>
        </w:rPr>
        <w:t>（4）掌握市场经济的基本理论和方法，现代金融的基本原理和方法等基础理论知识和技能；掌握金融专业的基础知识以及互联网金融产品设计思路；</w:t>
      </w:r>
    </w:p>
    <w:p>
      <w:pPr>
        <w:spacing w:line="400" w:lineRule="exact"/>
        <w:ind w:firstLine="480" w:firstLineChars="200"/>
        <w:rPr>
          <w:rFonts w:ascii="宋体" w:hAnsi="宋体"/>
          <w:color w:val="000000"/>
          <w:sz w:val="24"/>
        </w:rPr>
      </w:pPr>
      <w:r>
        <w:rPr>
          <w:rFonts w:hint="eastAsia" w:ascii="宋体" w:hAnsi="宋体"/>
          <w:color w:val="000000"/>
          <w:sz w:val="24"/>
        </w:rPr>
        <w:t>（5）掌握互联网金融产品营销相关知识，熟悉电子商务的基本知识和方法；</w:t>
      </w:r>
    </w:p>
    <w:p>
      <w:pPr>
        <w:spacing w:line="400" w:lineRule="exact"/>
        <w:ind w:firstLine="480" w:firstLineChars="200"/>
        <w:rPr>
          <w:rFonts w:ascii="宋体" w:hAnsi="宋体"/>
          <w:color w:val="000000"/>
          <w:sz w:val="24"/>
        </w:rPr>
      </w:pPr>
      <w:r>
        <w:rPr>
          <w:rFonts w:hint="eastAsia" w:ascii="宋体" w:hAnsi="宋体"/>
          <w:color w:val="000000"/>
          <w:sz w:val="24"/>
        </w:rPr>
        <w:t>（6）熟悉我国有关财务、金融管理的方针、政策和法规，以及有关互联网金融的法规和惯例；</w:t>
      </w:r>
    </w:p>
    <w:p>
      <w:pPr>
        <w:spacing w:line="400" w:lineRule="exact"/>
        <w:ind w:firstLine="480" w:firstLineChars="200"/>
        <w:rPr>
          <w:rFonts w:hint="eastAsia" w:ascii="宋体" w:hAnsi="宋体"/>
          <w:color w:val="000000"/>
          <w:sz w:val="24"/>
        </w:rPr>
      </w:pPr>
      <w:r>
        <w:rPr>
          <w:rFonts w:hint="eastAsia" w:ascii="宋体" w:hAnsi="宋体"/>
          <w:color w:val="000000"/>
          <w:sz w:val="24"/>
        </w:rPr>
        <w:t>（7）掌握互联网信息技术的应用，在加强信息技术和金融产品交叉结合的基础上形成一定分析和解决实际问题的能力，具备创新思维和和初步的互联网金融产品设</w:t>
      </w:r>
    </w:p>
    <w:p>
      <w:pPr>
        <w:spacing w:line="400" w:lineRule="exact"/>
        <w:rPr>
          <w:rFonts w:hint="eastAsia" w:ascii="宋体" w:hAnsi="宋体"/>
          <w:color w:val="000000"/>
          <w:sz w:val="24"/>
        </w:rPr>
      </w:pPr>
      <w:r>
        <w:rPr>
          <w:rFonts w:hint="eastAsia" w:ascii="宋体" w:hAnsi="宋体"/>
          <w:color w:val="000000"/>
          <w:sz w:val="24"/>
        </w:rPr>
        <w:t>计开发能力，尤其是对移动互联网技术的金融应用方面，掌握互联网金融产品的基础开发和设计能力；</w:t>
      </w:r>
    </w:p>
    <w:p>
      <w:pPr>
        <w:spacing w:line="400" w:lineRule="exact"/>
        <w:ind w:firstLine="480" w:firstLineChars="200"/>
        <w:rPr>
          <w:rFonts w:ascii="宋体" w:hAnsi="宋体"/>
          <w:color w:val="000000"/>
          <w:sz w:val="24"/>
        </w:rPr>
      </w:pPr>
      <w:r>
        <w:rPr>
          <w:rFonts w:hint="eastAsia" w:ascii="宋体" w:hAnsi="宋体"/>
          <w:color w:val="000000"/>
          <w:sz w:val="24"/>
        </w:rPr>
        <w:t>（8）熟悉大数据、人工智能与区块链技术等前沿领域科技的发展，形成金融与信息技术交叉融合的跨学科知识体系，具备大数据金融分析能力及应用能力。</w:t>
      </w:r>
    </w:p>
    <w:p>
      <w:pPr>
        <w:spacing w:line="400" w:lineRule="exact"/>
        <w:ind w:firstLine="480" w:firstLineChars="200"/>
        <w:rPr>
          <w:rFonts w:ascii="宋体" w:hAnsi="宋体"/>
          <w:color w:val="000000"/>
          <w:sz w:val="24"/>
        </w:rPr>
      </w:pPr>
      <w:r>
        <w:rPr>
          <w:rFonts w:hint="eastAsia" w:ascii="宋体" w:hAnsi="宋体"/>
          <w:color w:val="000000"/>
          <w:sz w:val="24"/>
        </w:rPr>
        <w:t>3、能力结构</w:t>
      </w:r>
    </w:p>
    <w:p>
      <w:pPr>
        <w:spacing w:line="400" w:lineRule="exact"/>
        <w:ind w:firstLine="480" w:firstLineChars="200"/>
        <w:rPr>
          <w:rFonts w:ascii="宋体" w:hAnsi="宋体"/>
          <w:color w:val="000000"/>
          <w:sz w:val="24"/>
        </w:rPr>
      </w:pPr>
      <w:r>
        <w:rPr>
          <w:rFonts w:hint="eastAsia" w:ascii="宋体" w:hAnsi="宋体"/>
          <w:color w:val="000000"/>
          <w:sz w:val="24"/>
        </w:rPr>
        <w:t>（1）基本能力</w:t>
      </w:r>
    </w:p>
    <w:p>
      <w:pPr>
        <w:spacing w:line="400" w:lineRule="exact"/>
        <w:ind w:firstLine="480" w:firstLineChars="200"/>
        <w:rPr>
          <w:rFonts w:ascii="宋体" w:hAnsi="宋体"/>
          <w:color w:val="000000"/>
          <w:sz w:val="24"/>
        </w:rPr>
      </w:pPr>
      <w:r>
        <w:rPr>
          <w:rFonts w:hint="eastAsia" w:ascii="宋体" w:hAnsi="宋体"/>
          <w:color w:val="000000"/>
          <w:sz w:val="24"/>
        </w:rPr>
        <w:t>具有良好的英、汉语言口头和文字表达能力、社会交往能力以及较强的组织管理、分析判断和信息处理能力；具有较强的学习能力、写作能力、语言表达能力、人际沟通和跨国文化交流能力。</w:t>
      </w:r>
    </w:p>
    <w:p>
      <w:pPr>
        <w:spacing w:line="400" w:lineRule="exact"/>
        <w:ind w:firstLine="480" w:firstLineChars="200"/>
        <w:rPr>
          <w:rFonts w:ascii="宋体" w:hAnsi="宋体"/>
          <w:color w:val="000000"/>
          <w:sz w:val="24"/>
        </w:rPr>
      </w:pPr>
      <w:r>
        <w:rPr>
          <w:rFonts w:hint="eastAsia" w:ascii="宋体" w:hAnsi="宋体"/>
          <w:color w:val="000000"/>
          <w:sz w:val="24"/>
        </w:rPr>
        <w:t>（2）职业能力</w:t>
      </w:r>
    </w:p>
    <w:p>
      <w:pPr>
        <w:spacing w:line="400" w:lineRule="exact"/>
        <w:ind w:firstLine="480" w:firstLineChars="200"/>
        <w:rPr>
          <w:rFonts w:ascii="宋体" w:hAnsi="宋体"/>
          <w:color w:val="000000"/>
          <w:sz w:val="24"/>
        </w:rPr>
      </w:pPr>
      <w:r>
        <w:rPr>
          <w:rFonts w:hint="eastAsia" w:ascii="宋体" w:hAnsi="宋体"/>
          <w:color w:val="000000"/>
          <w:sz w:val="24"/>
        </w:rPr>
        <w:t>具备诚实、守信、敬业、协作的基本职业能力；以及计算机和信息技术应用等方面的基本能力；</w:t>
      </w:r>
    </w:p>
    <w:p>
      <w:pPr>
        <w:spacing w:line="400" w:lineRule="exact"/>
        <w:ind w:firstLine="480" w:firstLineChars="200"/>
        <w:rPr>
          <w:rFonts w:ascii="宋体" w:hAnsi="宋体"/>
          <w:color w:val="000000"/>
          <w:sz w:val="24"/>
        </w:rPr>
      </w:pPr>
      <w:r>
        <w:rPr>
          <w:rFonts w:hint="eastAsia" w:ascii="宋体" w:hAnsi="宋体"/>
          <w:color w:val="000000"/>
          <w:sz w:val="24"/>
        </w:rPr>
        <w:t>注重于金融学科与信息技术的交叉融合，具有较强的金融工具的灵活运用能力、互联网金融产品设计开发能力、金融数据分析与运用能力；</w:t>
      </w:r>
    </w:p>
    <w:p>
      <w:pPr>
        <w:spacing w:line="400" w:lineRule="exact"/>
        <w:ind w:firstLine="480" w:firstLineChars="200"/>
        <w:rPr>
          <w:rFonts w:ascii="宋体" w:hAnsi="宋体"/>
          <w:color w:val="000000"/>
          <w:sz w:val="24"/>
        </w:rPr>
      </w:pPr>
      <w:r>
        <w:rPr>
          <w:rFonts w:hint="eastAsia" w:ascii="宋体" w:hAnsi="宋体"/>
          <w:color w:val="000000"/>
          <w:sz w:val="24"/>
        </w:rPr>
        <w:t>具备从事相关业务的基本技能；能够处理银行、证券、投资、金融服务及金融监管等领域问题的基本能力，具有继续学习和适应职业变化的发展能力；具有较强的创新能力和创业精神。</w:t>
      </w:r>
    </w:p>
    <w:p>
      <w:pPr>
        <w:spacing w:line="400" w:lineRule="exact"/>
        <w:ind w:firstLine="480" w:firstLineChars="200"/>
        <w:rPr>
          <w:rFonts w:hint="eastAsia" w:ascii="宋体" w:hAnsi="宋体"/>
          <w:color w:val="000000"/>
          <w:sz w:val="24"/>
        </w:rPr>
      </w:pPr>
      <w:r>
        <w:rPr>
          <w:rFonts w:hint="eastAsia" w:ascii="宋体" w:hAnsi="宋体"/>
          <w:color w:val="000000"/>
          <w:sz w:val="24"/>
        </w:rPr>
        <w:t>创新创业能力。专业敏感，具有一定的自主学习能力。善于运用专业知识创造性地解决金融问题，具有一定的策划和创新创业能力。</w:t>
      </w:r>
    </w:p>
    <w:p>
      <w:pPr>
        <w:spacing w:line="400" w:lineRule="exact"/>
        <w:ind w:firstLine="480" w:firstLineChars="200"/>
        <w:rPr>
          <w:rFonts w:hint="eastAsia" w:ascii="宋体" w:hAnsi="宋体"/>
          <w:color w:val="000000"/>
          <w:sz w:val="24"/>
        </w:rPr>
      </w:pPr>
      <w:r>
        <w:rPr>
          <w:rFonts w:hint="eastAsia" w:ascii="宋体" w:hAnsi="宋体"/>
          <w:color w:val="000000"/>
          <w:sz w:val="24"/>
        </w:rPr>
        <w:t>具备良好的身体素质和运动协调能力。具备沟通表达能力，具有语言与文字表达能力和人际沟通能力。</w:t>
      </w:r>
    </w:p>
    <w:p>
      <w:pPr>
        <w:spacing w:line="400" w:lineRule="exact"/>
        <w:ind w:firstLine="480" w:firstLineChars="200"/>
        <w:rPr>
          <w:rFonts w:hint="eastAsia" w:ascii="宋体" w:hAnsi="宋体"/>
          <w:color w:val="000000"/>
          <w:sz w:val="24"/>
        </w:rPr>
      </w:pPr>
      <w:r>
        <w:rPr>
          <w:rFonts w:hint="eastAsia" w:ascii="宋体" w:hAnsi="宋体"/>
          <w:color w:val="000000"/>
          <w:sz w:val="24"/>
        </w:rPr>
        <w:t>4、道德与态度</w:t>
      </w:r>
    </w:p>
    <w:p>
      <w:pPr>
        <w:spacing w:line="400" w:lineRule="exact"/>
        <w:ind w:firstLine="480" w:firstLineChars="200"/>
        <w:rPr>
          <w:rFonts w:hint="eastAsia" w:ascii="宋体" w:hAnsi="宋体"/>
          <w:color w:val="000000"/>
          <w:sz w:val="24"/>
        </w:rPr>
      </w:pPr>
      <w:r>
        <w:rPr>
          <w:rFonts w:hint="eastAsia" w:ascii="宋体" w:hAnsi="宋体"/>
          <w:color w:val="000000"/>
          <w:sz w:val="24"/>
        </w:rPr>
        <w:t>（1）拥护共产党领导，拥护社会主义制度，为建设和发展美好祖国而努力学习。具有强烈的社会责任心，遵纪守法、文明诚信，具有良好的品德和职业道德。</w:t>
      </w:r>
    </w:p>
    <w:p>
      <w:pPr>
        <w:spacing w:line="400" w:lineRule="exact"/>
        <w:ind w:firstLine="480" w:firstLineChars="200"/>
        <w:rPr>
          <w:rFonts w:ascii="宋体" w:hAnsi="宋体"/>
          <w:color w:val="000000"/>
          <w:sz w:val="24"/>
        </w:rPr>
      </w:pPr>
      <w:r>
        <w:rPr>
          <w:rFonts w:hint="eastAsia" w:ascii="宋体" w:hAnsi="宋体"/>
          <w:color w:val="000000"/>
          <w:sz w:val="24"/>
        </w:rPr>
        <w:t>（2）具有良好的社会公德、职业道德、懂法守法、能用法律维护自身利益。</w:t>
      </w:r>
    </w:p>
    <w:p>
      <w:pPr>
        <w:spacing w:line="400" w:lineRule="exact"/>
        <w:ind w:firstLine="480" w:firstLineChars="200"/>
        <w:rPr>
          <w:rFonts w:ascii="宋体" w:hAnsi="宋体"/>
          <w:color w:val="000000"/>
          <w:sz w:val="24"/>
        </w:rPr>
      </w:pPr>
      <w:r>
        <w:rPr>
          <w:rFonts w:hint="eastAsia" w:ascii="宋体" w:hAnsi="宋体"/>
          <w:color w:val="000000"/>
          <w:sz w:val="24"/>
        </w:rPr>
        <w:t>（3）树立持续学习、终身学习理念，形成“</w:t>
      </w:r>
      <w:r>
        <w:rPr>
          <w:rFonts w:ascii="Arial" w:hAnsi="Arial" w:cs="Arial"/>
          <w:color w:val="000000"/>
          <w:sz w:val="24"/>
          <w:shd w:val="clear" w:color="auto" w:fill="FFFFFF"/>
        </w:rPr>
        <w:t>富强、民主、文明、和谐，自由、平等、公正、法治，爱国、敬业、诚信、友善</w:t>
      </w:r>
      <w:r>
        <w:rPr>
          <w:rFonts w:hint="eastAsia" w:ascii="宋体" w:hAnsi="宋体"/>
          <w:color w:val="000000"/>
          <w:sz w:val="24"/>
        </w:rPr>
        <w:t>”的社会主义价值观。</w:t>
      </w:r>
    </w:p>
    <w:p>
      <w:pPr>
        <w:spacing w:line="400" w:lineRule="exact"/>
        <w:ind w:firstLine="480" w:firstLineChars="200"/>
        <w:rPr>
          <w:rFonts w:ascii="宋体" w:hAnsi="宋体"/>
          <w:color w:val="000000"/>
          <w:sz w:val="24"/>
        </w:rPr>
      </w:pPr>
      <w:r>
        <w:rPr>
          <w:rFonts w:hint="eastAsia" w:ascii="宋体" w:hAnsi="宋体"/>
          <w:color w:val="000000"/>
          <w:sz w:val="24"/>
        </w:rPr>
        <w:t>（4）具有项目意识、互联网思维、团队精神和合作精神。</w:t>
      </w:r>
    </w:p>
    <w:p>
      <w:pPr>
        <w:spacing w:line="400" w:lineRule="exact"/>
        <w:ind w:firstLine="480" w:firstLineChars="200"/>
        <w:rPr>
          <w:rFonts w:ascii="宋体" w:hAnsi="宋体"/>
          <w:color w:val="000000"/>
          <w:sz w:val="24"/>
        </w:rPr>
      </w:pPr>
      <w:r>
        <w:rPr>
          <w:rFonts w:hint="eastAsia" w:ascii="宋体" w:hAnsi="宋体"/>
          <w:color w:val="000000"/>
          <w:sz w:val="24"/>
        </w:rPr>
        <w:t>（5）培养创新意识，掌握创新方法，在工作中不断创造性的解决问题。</w:t>
      </w:r>
    </w:p>
    <w:p>
      <w:pPr>
        <w:pStyle w:val="44"/>
        <w:ind w:firstLine="480"/>
      </w:pPr>
      <w:bookmarkStart w:id="23" w:name="_Toc5226"/>
      <w:bookmarkStart w:id="24" w:name="_Toc78431502"/>
      <w:bookmarkStart w:id="25" w:name="_Toc75253697"/>
      <w:r>
        <w:rPr>
          <w:rFonts w:hint="eastAsia"/>
        </w:rPr>
        <w:t>（六）专业建设的指导意见</w:t>
      </w:r>
      <w:bookmarkEnd w:id="23"/>
      <w:bookmarkEnd w:id="24"/>
      <w:bookmarkEnd w:id="25"/>
    </w:p>
    <w:p>
      <w:pPr>
        <w:spacing w:line="400" w:lineRule="exact"/>
        <w:ind w:firstLine="470" w:firstLineChars="196"/>
        <w:rPr>
          <w:rFonts w:ascii="宋体" w:hAnsi="宋体"/>
          <w:sz w:val="24"/>
        </w:rPr>
      </w:pPr>
      <w:r>
        <w:rPr>
          <w:rFonts w:ascii="宋体" w:hAnsi="宋体"/>
          <w:sz w:val="24"/>
        </w:rPr>
        <w:t>1.</w:t>
      </w:r>
      <w:r>
        <w:rPr>
          <w:rFonts w:hint="eastAsia" w:ascii="宋体" w:hAnsi="宋体"/>
          <w:sz w:val="24"/>
        </w:rPr>
        <w:t>专业建设的指导思想</w:t>
      </w:r>
    </w:p>
    <w:p>
      <w:pPr>
        <w:spacing w:line="400" w:lineRule="exact"/>
        <w:ind w:firstLine="470" w:firstLineChars="196"/>
        <w:rPr>
          <w:rFonts w:hint="eastAsia" w:ascii="宋体" w:hAnsi="宋体"/>
          <w:sz w:val="24"/>
        </w:rPr>
      </w:pPr>
      <w:r>
        <w:rPr>
          <w:rFonts w:hint="eastAsia" w:ascii="宋体" w:hAnsi="宋体"/>
          <w:sz w:val="24"/>
        </w:rPr>
        <w:t>职业道德教育贯穿人才培养的全过程。金融行业的特殊性，要求从业人员应具有较高的职业道德修养。能够在从事金融、投资、营销等职业活动中遵守的道德准则和行为规范。职业道德的培养渠道主要包括高校的在校教育和上岗后的继续教育两方面。金融科技应用专业学生毕业后多数选择在银行、证券业等热门行业就业。然而，大多数专科院校在课程设置上，在学生能力培养时，都把侧重点放在专业能力的培养上，忽视或轻视学生的职业道德教育。这种教育的忽视经常会构成严重的潜在威胁，更可能会产生严重的后果。因此在校企双主体育人模式下，加强职业道德教育比重，促进我国金融人才培养质量的提高，意义重大。</w:t>
      </w:r>
    </w:p>
    <w:p>
      <w:pPr>
        <w:spacing w:line="400" w:lineRule="exact"/>
        <w:ind w:firstLine="470" w:firstLineChars="196"/>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专业建设的理念</w:t>
      </w:r>
    </w:p>
    <w:p>
      <w:pPr>
        <w:spacing w:line="400" w:lineRule="exact"/>
        <w:ind w:firstLine="470" w:firstLineChars="196"/>
        <w:rPr>
          <w:rFonts w:ascii="宋体" w:hAnsi="宋体"/>
          <w:sz w:val="24"/>
        </w:rPr>
      </w:pPr>
      <w:r>
        <w:rPr>
          <w:rFonts w:hint="eastAsia" w:ascii="宋体" w:hAnsi="宋体"/>
          <w:sz w:val="24"/>
        </w:rPr>
        <w:t>从国际视野来看，世界多极化、经济全球化、文化多元化、社会信息化深入发展，国际金融危机深层次的影响在相当长时期还将存在，新一轮科技革命和产业变革蓄势待发，互联网、云计算、大数据、人工智能等现代技术深刻改变着人类的思维、生产、生活和学习方式，国际竞争日趋激烈，人才培养与争夺成为焦点。与传统金融相比，金融科技要求有更高标准的金融人才相匹配，尤其是国际化程度要求越来越高，具体体现在人才培养目标的国际化和课程设置的国际化。</w:t>
      </w:r>
    </w:p>
    <w:p>
      <w:pPr>
        <w:spacing w:line="400" w:lineRule="exact"/>
        <w:ind w:firstLine="470" w:firstLineChars="196"/>
        <w:rPr>
          <w:rFonts w:hint="eastAsia" w:ascii="宋体" w:hAnsi="宋体"/>
          <w:sz w:val="24"/>
          <w:lang w:val="en-US" w:eastAsia="zh-CN"/>
        </w:rPr>
      </w:pPr>
      <w:r>
        <w:rPr>
          <w:rFonts w:hint="eastAsia" w:ascii="宋体" w:hAnsi="宋体"/>
          <w:sz w:val="24"/>
        </w:rPr>
        <w:t>因此，在专业建设上，主要</w:t>
      </w:r>
      <w:r>
        <w:rPr>
          <w:rFonts w:hint="eastAsia" w:ascii="宋体" w:hAnsi="宋体"/>
          <w:sz w:val="24"/>
          <w:lang w:val="en-US" w:eastAsia="zh-CN"/>
        </w:rPr>
        <w:t>做好以下三方面的工作。</w:t>
      </w:r>
    </w:p>
    <w:p>
      <w:pPr>
        <w:spacing w:line="400" w:lineRule="exact"/>
        <w:ind w:firstLine="470" w:firstLineChars="196"/>
        <w:rPr>
          <w:rFonts w:hint="eastAsia" w:ascii="宋体" w:hAnsi="宋体"/>
          <w:sz w:val="24"/>
          <w:lang w:eastAsia="zh-CN"/>
        </w:rPr>
      </w:pPr>
      <w:r>
        <w:rPr>
          <w:rFonts w:hint="eastAsia" w:ascii="宋体" w:hAnsi="宋体"/>
          <w:sz w:val="24"/>
        </w:rPr>
        <w:t>一是</w:t>
      </w:r>
      <w:r>
        <w:rPr>
          <w:rFonts w:hint="eastAsia" w:ascii="宋体" w:hAnsi="宋体"/>
          <w:sz w:val="24"/>
          <w:lang w:eastAsia="zh-CN"/>
        </w:rPr>
        <w:t>，</w:t>
      </w:r>
      <w:r>
        <w:rPr>
          <w:rFonts w:hint="eastAsia" w:ascii="宋体" w:hAnsi="宋体"/>
          <w:sz w:val="24"/>
        </w:rPr>
        <w:t>重视学科交叉</w:t>
      </w:r>
      <w:r>
        <w:rPr>
          <w:rFonts w:hint="eastAsia" w:ascii="宋体" w:hAnsi="宋体"/>
          <w:sz w:val="24"/>
          <w:lang w:eastAsia="zh-CN"/>
        </w:rPr>
        <w:t>，</w:t>
      </w:r>
      <w:r>
        <w:rPr>
          <w:rFonts w:hint="eastAsia" w:ascii="宋体" w:hAnsi="宋体"/>
          <w:sz w:val="24"/>
        </w:rPr>
        <w:t>优化课程体系</w:t>
      </w:r>
      <w:r>
        <w:rPr>
          <w:rFonts w:hint="eastAsia" w:ascii="宋体" w:hAnsi="宋体"/>
          <w:sz w:val="24"/>
          <w:lang w:eastAsia="zh-CN"/>
        </w:rPr>
        <w:t>，</w:t>
      </w:r>
      <w:r>
        <w:rPr>
          <w:rFonts w:hint="eastAsia" w:ascii="宋体" w:hAnsi="宋体"/>
          <w:sz w:val="24"/>
        </w:rPr>
        <w:t>在课程设置上应该注重培养大数据、云计算、数据挖掘、机器学习等新技术操作能力，开发数据挖掘、信用评估、风险评价等相应的课程体系</w:t>
      </w:r>
      <w:r>
        <w:rPr>
          <w:rFonts w:hint="eastAsia" w:ascii="宋体" w:hAnsi="宋体"/>
          <w:sz w:val="24"/>
          <w:lang w:eastAsia="zh-CN"/>
        </w:rPr>
        <w:t>。</w:t>
      </w:r>
    </w:p>
    <w:p>
      <w:pPr>
        <w:spacing w:line="400" w:lineRule="exact"/>
        <w:ind w:firstLine="470" w:firstLineChars="196"/>
        <w:rPr>
          <w:rFonts w:hint="eastAsia" w:ascii="宋体" w:hAnsi="宋体"/>
          <w:sz w:val="24"/>
        </w:rPr>
      </w:pPr>
      <w:r>
        <w:rPr>
          <w:rFonts w:hint="eastAsia" w:ascii="宋体" w:hAnsi="宋体"/>
          <w:sz w:val="24"/>
        </w:rPr>
        <w:t>二是</w:t>
      </w:r>
      <w:r>
        <w:rPr>
          <w:rFonts w:hint="eastAsia" w:ascii="宋体" w:hAnsi="宋体"/>
          <w:sz w:val="24"/>
          <w:lang w:eastAsia="zh-CN"/>
        </w:rPr>
        <w:t>，</w:t>
      </w:r>
      <w:r>
        <w:rPr>
          <w:rFonts w:hint="eastAsia" w:ascii="宋体" w:hAnsi="宋体"/>
          <w:sz w:val="24"/>
        </w:rPr>
        <w:t>加强校企业合作，提升实践能力加强校企合作，建立专业示范性实习基地，以新兴金融科技岗位需求为导向，通过校企联合协同育人，不断加强实践、实习基地建设，有针对性地进行订单式培养，从而培养出更具特色和富有竞争力的金融人才，实现校企双方共赢。建立开放灵活的教学运行机制，在教学各个环节开展与企业的合作，把学校教育直接与实践一线具体工作有机结合，搭建金融科技人才协同创新平台。通过产学研深度合作，加强技术交流与合作，实现资源共享共创，提高复合型金融人才的培养质量和水平，联合培养金融科技型创新人才。</w:t>
      </w:r>
    </w:p>
    <w:p>
      <w:pPr>
        <w:spacing w:line="400" w:lineRule="exact"/>
        <w:ind w:firstLine="470" w:firstLineChars="196"/>
        <w:rPr>
          <w:rFonts w:hint="eastAsia" w:ascii="宋体" w:hAnsi="宋体"/>
          <w:sz w:val="24"/>
        </w:rPr>
      </w:pPr>
      <w:r>
        <w:rPr>
          <w:rFonts w:hint="eastAsia" w:ascii="宋体" w:hAnsi="宋体"/>
          <w:sz w:val="24"/>
        </w:rPr>
        <w:t>三是</w:t>
      </w:r>
      <w:r>
        <w:rPr>
          <w:rFonts w:hint="eastAsia" w:ascii="宋体" w:hAnsi="宋体"/>
          <w:sz w:val="24"/>
          <w:lang w:eastAsia="zh-CN"/>
        </w:rPr>
        <w:t>，</w:t>
      </w:r>
      <w:r>
        <w:rPr>
          <w:rFonts w:hint="eastAsia" w:ascii="宋体" w:hAnsi="宋体"/>
          <w:sz w:val="24"/>
        </w:rPr>
        <w:t>加强师资培训，培养“双师型”教师队伍是人才培养的主力军，是实现人才培养目标的根本保证，教师的水平直接影响人才培养质量。金融科技人才的培养，需要建设一支具有丰富实践经验和较强创新能力的教师队伍。这支队伍除具备扎实的理论知识外，还应了解金融学科专业的前沿发展动态和行业的最新实践，熟悉企业的用人需求。加强师资培训，选派教师去国内外高校和研究机构访学和交流合作，参加学术会议、教学培训及经验交流会，以切实提高教师理论素养。积极拓宽师资队伍的来源渠道，加大“双师型”教师培养力度，选派教师到相关企业挂职锻炼学习。引进或聘用具有一定岗位实践经历又有一定专业理论水平的人士担任兼职教师甚至专业建设带头人，打造双师型教师队伍。</w:t>
      </w:r>
    </w:p>
    <w:p>
      <w:pPr>
        <w:spacing w:line="440" w:lineRule="exact"/>
        <w:ind w:firstLine="470" w:firstLineChars="196"/>
        <w:rPr>
          <w:rFonts w:hint="eastAsia"/>
          <w:color w:val="000000"/>
          <w:sz w:val="24"/>
        </w:rPr>
      </w:pPr>
    </w:p>
    <w:p>
      <w:pPr>
        <w:pStyle w:val="3"/>
        <w:spacing w:line="415" w:lineRule="auto"/>
        <w:ind w:firstLine="480" w:firstLineChars="200"/>
        <w:rPr>
          <w:rFonts w:ascii="黑体" w:hAnsi="黑体" w:eastAsia="黑体"/>
          <w:b w:val="0"/>
          <w:sz w:val="24"/>
          <w:szCs w:val="24"/>
        </w:rPr>
      </w:pPr>
      <w:bookmarkStart w:id="26" w:name="_Toc4642"/>
      <w:bookmarkStart w:id="27" w:name="_Toc78431503"/>
      <w:bookmarkStart w:id="28" w:name="_Toc75253698"/>
      <w:r>
        <w:rPr>
          <w:rFonts w:hint="eastAsia" w:ascii="黑体" w:hAnsi="黑体" w:eastAsia="黑体"/>
          <w:b w:val="0"/>
          <w:color w:val="000000"/>
          <w:sz w:val="24"/>
          <w:szCs w:val="24"/>
        </w:rPr>
        <w:t>二</w:t>
      </w:r>
      <w:r>
        <w:rPr>
          <w:rFonts w:hint="eastAsia" w:ascii="黑体" w:hAnsi="黑体" w:eastAsia="黑体"/>
          <w:b w:val="0"/>
          <w:sz w:val="24"/>
          <w:szCs w:val="24"/>
        </w:rPr>
        <w:t>、办学层次定位</w:t>
      </w:r>
      <w:bookmarkEnd w:id="26"/>
      <w:bookmarkEnd w:id="27"/>
      <w:bookmarkEnd w:id="28"/>
    </w:p>
    <w:p>
      <w:pPr>
        <w:spacing w:line="440" w:lineRule="exact"/>
        <w:ind w:firstLine="897" w:firstLineChars="374"/>
        <w:rPr>
          <w:rFonts w:ascii="宋体" w:hAnsi="宋体"/>
          <w:color w:val="000000"/>
          <w:sz w:val="24"/>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3579495</wp:posOffset>
                </wp:positionH>
                <wp:positionV relativeFrom="paragraph">
                  <wp:posOffset>40640</wp:posOffset>
                </wp:positionV>
                <wp:extent cx="228600" cy="247650"/>
                <wp:effectExtent l="11430" t="8890" r="7620" b="10160"/>
                <wp:wrapNone/>
                <wp:docPr id="4" name="文本框 168"/>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68" o:spid="_x0000_s1026" o:spt="202" type="#_x0000_t202" style="position:absolute;left:0pt;margin-left:281.85pt;margin-top:3.2pt;height:19.5pt;width:18pt;z-index:251659264;mso-width-relative:page;mso-height-relative:page;" fillcolor="#FFFFFF" filled="t" stroked="t" coordsize="21600,21600" o:gfxdata="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OYLLYAAAACAEAAA8AAAAAAAAAAQAgAAAAIgAA&#10;AGRycy9kb3ducmV2LnhtbFBLAQIUABQAAAAIAIdO4kDS60X7QQIAAIgEAAAOAAAAAAAAAAEAIAAA&#10;ACcBAABkcnMvZTJvRG9jLnhtbFBLBQYAAAAABgAGAFkBAADaBQAAAAA=&#10;">
                <v:fill on="t" focussize="0,0"/>
                <v:stroke color="#000000" miterlimit="8" joinstyle="miter"/>
                <v:imagedata o:title=""/>
                <o:lock v:ext="edit" aspectratio="f"/>
                <v:textbox>
                  <w:txbxContent>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61312" behindDoc="0" locked="0" layoutInCell="1" allowOverlap="1">
                <wp:simplePos x="0" y="0"/>
                <wp:positionH relativeFrom="column">
                  <wp:posOffset>1198245</wp:posOffset>
                </wp:positionH>
                <wp:positionV relativeFrom="paragraph">
                  <wp:posOffset>27305</wp:posOffset>
                </wp:positionV>
                <wp:extent cx="228600" cy="247650"/>
                <wp:effectExtent l="11430" t="5080" r="7620" b="13970"/>
                <wp:wrapNone/>
                <wp:docPr id="3" name="文本框 170"/>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r>
                              <w:rPr>
                                <w:rFonts w:hint="eastAsia" w:ascii="宋体" w:hAnsi="宋体"/>
                              </w:rPr>
                              <w:t>√</w:t>
                            </w:r>
                          </w:p>
                        </w:txbxContent>
                      </wps:txbx>
                      <wps:bodyPr rot="0" vert="horz" wrap="square" lIns="91440" tIns="45720" rIns="91440" bIns="45720" anchor="t" anchorCtr="0" upright="1">
                        <a:noAutofit/>
                      </wps:bodyPr>
                    </wps:wsp>
                  </a:graphicData>
                </a:graphic>
              </wp:anchor>
            </w:drawing>
          </mc:Choice>
          <mc:Fallback>
            <w:pict>
              <v:shape id="文本框 170" o:spid="_x0000_s1026" o:spt="202" type="#_x0000_t202" style="position:absolute;left:0pt;margin-left:94.35pt;margin-top:2.15pt;height:19.5pt;width:18pt;z-index:251661312;mso-width-relative:page;mso-height-relative:page;" fillcolor="#FFFFFF" filled="t" stroked="t" coordsize="21600,21600" o:gfxdata="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78CP3WAAAACAEAAA8AAAAAAAAAAQAgAAAAIgAA&#10;AGRycy9kb3ducmV2LnhtbFBLAQIUABQAAAAIAIdO4kCvs4CXQwIAAIgEAAAOAAAAAAAAAAEAIAAA&#10;ACUBAABkcnMvZTJvRG9jLnhtbFBLBQYAAAAABgAGAFkBAADaBQAAAAA=&#10;">
                <v:fill on="t" focussize="0,0"/>
                <v:stroke color="#000000" miterlimit="8" joinstyle="miter"/>
                <v:imagedata o:title=""/>
                <o:lock v:ext="edit" aspectratio="f"/>
                <v:textbox>
                  <w:txbxContent>
                    <w:p>
                      <w:r>
                        <w:rPr>
                          <w:rFonts w:hint="eastAsia" w:ascii="宋体" w:hAnsi="宋体"/>
                        </w:rPr>
                        <w:t>√</w:t>
                      </w:r>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50165</wp:posOffset>
                </wp:positionV>
                <wp:extent cx="228600" cy="247650"/>
                <wp:effectExtent l="9525" t="8890" r="9525" b="10160"/>
                <wp:wrapNone/>
                <wp:docPr id="2" name="文本框 169"/>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69" o:spid="_x0000_s1026" o:spt="202" type="#_x0000_t202" style="position:absolute;left:0pt;margin-left:167.7pt;margin-top:3.95pt;height:19.5pt;width:18pt;z-index:251660288;mso-width-relative:page;mso-height-relative:page;" fillcolor="#FFFFFF" filled="t" stroked="t" coordsize="21600,21600" o:gfxdata="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V1C9HYAAAACAEAAA8AAAAAAAAAAQAgAAAAIgAA&#10;AGRycy9kb3ducmV2LnhtbFBLAQIUABQAAAAIAIdO4kCJwsc/QQIAAIgEAAAOAAAAAAAAAAEAIAAA&#10;ACcBAABkcnMvZTJvRG9jLnhtbFBLBQYAAAAABgAGAFkBAADaBQAAAAA=&#10;">
                <v:fill on="t" focussize="0,0"/>
                <v:stroke color="#000000" miterlimit="8" joinstyle="miter"/>
                <v:imagedata o:title=""/>
                <o:lock v:ext="edit" aspectratio="f"/>
                <v:textbox>
                  <w:txbxContent>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31115</wp:posOffset>
                </wp:positionV>
                <wp:extent cx="228600" cy="247650"/>
                <wp:effectExtent l="5715" t="8890" r="13335" b="10160"/>
                <wp:wrapNone/>
                <wp:docPr id="1" name="文本框 171"/>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71" o:spid="_x0000_s1026" o:spt="202" type="#_x0000_t202" style="position:absolute;left:0pt;margin-left:23.4pt;margin-top:2.45pt;height:19.5pt;width:18pt;z-index:251662336;mso-width-relative:page;mso-height-relative:page;" fillcolor="#FFFFFF" filled="t" stroked="t" coordsize="21600,21600" o:gfxdata="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Ljt+dQAAAAGAQAADwAAAAAAAAABACAAAAAiAAAA&#10;ZHJzL2Rvd25yZXYueG1sUEsBAhQAFAAAAAgAh07iQMZWJF1EAgAAiAQAAA4AAAAAAAAAAQAgAAAA&#10;IwEAAGRycy9lMm9Eb2MueG1sUEsFBgAAAAAGAAYAWQEAANkFAAAAAA==&#10;">
                <v:fill on="t" focussize="0,0"/>
                <v:stroke color="#000000" miterlimit="8" joinstyle="miter"/>
                <v:imagedata o:title=""/>
                <o:lock v:ext="edit" aspectratio="f"/>
                <v:textbox>
                  <w:txbxContent>
                    <w:p/>
                  </w:txbxContent>
                </v:textbox>
              </v:shape>
            </w:pict>
          </mc:Fallback>
        </mc:AlternateContent>
      </w:r>
      <w:r>
        <w:rPr>
          <w:rFonts w:hint="eastAsia" w:ascii="宋体" w:hAnsi="宋体"/>
          <w:color w:val="000000"/>
          <w:sz w:val="24"/>
        </w:rPr>
        <w:t>中职        高职        高职（本科）       高职（硕士）</w:t>
      </w:r>
    </w:p>
    <w:p>
      <w:pPr>
        <w:pStyle w:val="3"/>
        <w:spacing w:line="415" w:lineRule="auto"/>
        <w:ind w:firstLine="480" w:firstLineChars="200"/>
        <w:rPr>
          <w:rFonts w:ascii="黑体" w:hAnsi="黑体" w:eastAsia="黑体"/>
          <w:b w:val="0"/>
          <w:sz w:val="24"/>
        </w:rPr>
      </w:pPr>
      <w:bookmarkStart w:id="29" w:name="_Toc14519"/>
      <w:bookmarkStart w:id="30" w:name="_Toc75253699"/>
      <w:bookmarkStart w:id="31" w:name="_Toc78431504"/>
      <w:r>
        <w:rPr>
          <w:rFonts w:hint="eastAsia" w:ascii="黑体" w:hAnsi="黑体" w:eastAsia="黑体"/>
          <w:b w:val="0"/>
          <w:sz w:val="24"/>
        </w:rPr>
        <w:t>三、专业人才培养目标</w:t>
      </w:r>
      <w:bookmarkEnd w:id="29"/>
      <w:bookmarkEnd w:id="30"/>
      <w:bookmarkEnd w:id="31"/>
    </w:p>
    <w:p>
      <w:pPr>
        <w:pStyle w:val="44"/>
        <w:ind w:firstLine="480"/>
      </w:pPr>
      <w:bookmarkStart w:id="32" w:name="_Toc75253700"/>
      <w:bookmarkStart w:id="33" w:name="_Toc78431505"/>
      <w:bookmarkStart w:id="34" w:name="_Toc5935"/>
      <w:r>
        <w:rPr>
          <w:rFonts w:hint="eastAsia"/>
        </w:rPr>
        <w:t>（一）职业面向</w:t>
      </w:r>
      <w:bookmarkEnd w:id="32"/>
      <w:bookmarkEnd w:id="33"/>
      <w:bookmarkEnd w:id="34"/>
    </w:p>
    <w:p>
      <w:pPr>
        <w:spacing w:line="400" w:lineRule="exact"/>
        <w:ind w:firstLine="470" w:firstLineChars="196"/>
        <w:rPr>
          <w:rFonts w:hint="eastAsia" w:ascii="宋体" w:hAnsi="宋体"/>
          <w:sz w:val="24"/>
        </w:rPr>
      </w:pPr>
      <w:r>
        <w:rPr>
          <w:rFonts w:hint="eastAsia" w:ascii="宋体" w:hAnsi="宋体"/>
          <w:sz w:val="24"/>
        </w:rPr>
        <w:t>本专业就业岗位群有如下几类：</w:t>
      </w:r>
    </w:p>
    <w:p>
      <w:pPr>
        <w:spacing w:line="400" w:lineRule="exact"/>
        <w:ind w:firstLine="470" w:firstLineChars="196"/>
        <w:rPr>
          <w:rFonts w:hint="eastAsia" w:ascii="宋体" w:hAnsi="宋体"/>
          <w:sz w:val="24"/>
        </w:rPr>
      </w:pPr>
      <w:r>
        <w:rPr>
          <w:rFonts w:hint="eastAsia" w:ascii="宋体" w:hAnsi="宋体"/>
          <w:sz w:val="24"/>
        </w:rPr>
        <w:t>1.投资公司理财顾问</w:t>
      </w:r>
    </w:p>
    <w:p>
      <w:pPr>
        <w:spacing w:line="400" w:lineRule="exact"/>
        <w:ind w:firstLine="470" w:firstLineChars="196"/>
        <w:rPr>
          <w:rFonts w:hint="eastAsia" w:ascii="宋体" w:hAnsi="宋体"/>
          <w:sz w:val="24"/>
        </w:rPr>
      </w:pPr>
      <w:r>
        <w:rPr>
          <w:rFonts w:hint="eastAsia" w:ascii="宋体" w:hAnsi="宋体"/>
          <w:sz w:val="24"/>
        </w:rPr>
        <w:t>就业面向财富管理公司、资产管理公司、投资管理公司的理财专员、理财顾问</w:t>
      </w:r>
      <w:r>
        <w:rPr>
          <w:rFonts w:hint="eastAsia" w:ascii="宋体" w:hAnsi="宋体"/>
          <w:sz w:val="24"/>
          <w:lang w:eastAsia="zh-CN"/>
        </w:rPr>
        <w:t>、</w:t>
      </w:r>
      <w:r>
        <w:rPr>
          <w:rFonts w:hint="eastAsia" w:ascii="宋体" w:hAnsi="宋体"/>
          <w:sz w:val="24"/>
        </w:rPr>
        <w:t>营销专员等。主要针对高净值客户，进行投资理财产品组合推荐，帮助客户降低成本，提高收益，实现财富增值。</w:t>
      </w:r>
    </w:p>
    <w:p>
      <w:pPr>
        <w:spacing w:line="400" w:lineRule="exact"/>
        <w:ind w:firstLine="470" w:firstLineChars="196"/>
        <w:rPr>
          <w:rFonts w:hint="eastAsia" w:ascii="宋体" w:hAnsi="宋体"/>
          <w:sz w:val="24"/>
        </w:rPr>
      </w:pPr>
      <w:r>
        <w:rPr>
          <w:rFonts w:hint="eastAsia" w:ascii="宋体" w:hAnsi="宋体"/>
          <w:sz w:val="24"/>
        </w:rPr>
        <w:t>2.大数据征信经理</w:t>
      </w:r>
    </w:p>
    <w:p>
      <w:pPr>
        <w:spacing w:line="400" w:lineRule="exact"/>
        <w:ind w:firstLine="470" w:firstLineChars="196"/>
        <w:rPr>
          <w:rFonts w:hint="eastAsia" w:ascii="宋体" w:hAnsi="宋体"/>
          <w:sz w:val="24"/>
        </w:rPr>
      </w:pPr>
      <w:r>
        <w:rPr>
          <w:rFonts w:hint="eastAsia" w:ascii="宋体" w:hAnsi="宋体"/>
          <w:sz w:val="24"/>
        </w:rPr>
        <w:t>就业面向小额贷款公司、消费金融公司、资产管理公司等，通过线上线下客户信用的调查，为自然人或企业提供小额贷款融资，实现资金融通并降低企业潜在风险。</w:t>
      </w:r>
    </w:p>
    <w:p>
      <w:pPr>
        <w:spacing w:line="400" w:lineRule="exact"/>
        <w:ind w:firstLine="470" w:firstLineChars="196"/>
        <w:rPr>
          <w:rFonts w:hint="eastAsia" w:ascii="宋体" w:hAnsi="宋体"/>
          <w:sz w:val="24"/>
        </w:rPr>
      </w:pPr>
      <w:r>
        <w:rPr>
          <w:rFonts w:hint="eastAsia" w:ascii="宋体" w:hAnsi="宋体"/>
          <w:sz w:val="24"/>
        </w:rPr>
        <w:t>3.银行业务经理</w:t>
      </w:r>
    </w:p>
    <w:p>
      <w:pPr>
        <w:spacing w:line="400" w:lineRule="exact"/>
        <w:ind w:firstLine="470" w:firstLineChars="196"/>
        <w:rPr>
          <w:rFonts w:hint="eastAsia" w:ascii="宋体" w:hAnsi="宋体"/>
          <w:sz w:val="24"/>
        </w:rPr>
      </w:pPr>
      <w:r>
        <w:rPr>
          <w:rFonts w:hint="eastAsia" w:ascii="宋体" w:hAnsi="宋体"/>
          <w:sz w:val="24"/>
        </w:rPr>
        <w:t>面向城商行、股份制银行和外资银行，主要从事银行基本业务、银行理财产品营销和客户服务。</w:t>
      </w:r>
    </w:p>
    <w:p>
      <w:pPr>
        <w:pStyle w:val="44"/>
        <w:ind w:firstLine="480"/>
      </w:pPr>
      <w:bookmarkStart w:id="35" w:name="_Toc75253701"/>
      <w:bookmarkStart w:id="36" w:name="_Toc78431506"/>
      <w:bookmarkStart w:id="37" w:name="_Toc12496"/>
      <w:r>
        <w:rPr>
          <w:rFonts w:hint="eastAsia"/>
        </w:rPr>
        <w:t>（二）职业能力结构</w:t>
      </w:r>
      <w:bookmarkEnd w:id="35"/>
      <w:bookmarkEnd w:id="36"/>
      <w:bookmarkEnd w:id="37"/>
    </w:p>
    <w:p>
      <w:pPr>
        <w:ind w:firstLine="420"/>
        <w:rPr>
          <w:rFonts w:ascii="宋体" w:hAnsi="宋体"/>
          <w:sz w:val="24"/>
        </w:rPr>
      </w:pPr>
      <w:r>
        <w:rPr>
          <w:rFonts w:hint="eastAsia" w:ascii="宋体" w:hAnsi="宋体"/>
          <w:sz w:val="24"/>
        </w:rPr>
        <w:t>根据金融科技应用岗位能力要求，及能够胜任岗位工作任务的能力要求，本专业职业岗位群及职业能力机构如下表：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134"/>
        <w:gridCol w:w="1559"/>
        <w:gridCol w:w="2693"/>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hint="eastAsia" w:ascii="宋体" w:hAnsi="宋体"/>
                <w:szCs w:val="21"/>
              </w:rPr>
            </w:pPr>
            <w:r>
              <w:rPr>
                <w:rFonts w:hint="eastAsia" w:ascii="宋体" w:hAnsi="宋体"/>
                <w:szCs w:val="21"/>
              </w:rPr>
              <w:t>就业岗位</w:t>
            </w:r>
          </w:p>
        </w:tc>
        <w:tc>
          <w:tcPr>
            <w:tcW w:w="1134" w:type="dxa"/>
            <w:vMerge w:val="restart"/>
          </w:tcPr>
          <w:p>
            <w:pPr>
              <w:rPr>
                <w:rFonts w:hint="eastAsia" w:ascii="宋体" w:hAnsi="宋体"/>
                <w:szCs w:val="21"/>
              </w:rPr>
            </w:pPr>
            <w:r>
              <w:rPr>
                <w:rFonts w:hint="eastAsia" w:ascii="宋体" w:hAnsi="宋体"/>
                <w:szCs w:val="21"/>
              </w:rPr>
              <w:t>工作过程</w:t>
            </w:r>
          </w:p>
        </w:tc>
        <w:tc>
          <w:tcPr>
            <w:tcW w:w="1559" w:type="dxa"/>
            <w:vMerge w:val="restart"/>
          </w:tcPr>
          <w:p>
            <w:pPr>
              <w:rPr>
                <w:rFonts w:hint="eastAsia" w:ascii="宋体" w:hAnsi="宋体"/>
                <w:szCs w:val="21"/>
              </w:rPr>
            </w:pPr>
            <w:r>
              <w:rPr>
                <w:rFonts w:hint="eastAsia" w:ascii="宋体" w:hAnsi="宋体"/>
                <w:szCs w:val="21"/>
              </w:rPr>
              <w:t>主要工作任务</w:t>
            </w:r>
          </w:p>
        </w:tc>
        <w:tc>
          <w:tcPr>
            <w:tcW w:w="5266" w:type="dxa"/>
            <w:gridSpan w:val="2"/>
          </w:tcPr>
          <w:p>
            <w:pPr>
              <w:ind w:firstLine="1680" w:firstLineChars="800"/>
              <w:rPr>
                <w:rFonts w:hint="eastAsia" w:ascii="宋体" w:hAnsi="宋体"/>
                <w:szCs w:val="21"/>
              </w:rPr>
            </w:pPr>
            <w:r>
              <w:rPr>
                <w:rFonts w:hint="eastAsia" w:ascii="宋体" w:hAnsi="宋体"/>
                <w:szCs w:val="21"/>
              </w:rPr>
              <w:t>能力分析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hint="eastAsia" w:ascii="宋体" w:hAnsi="宋体"/>
                <w:szCs w:val="21"/>
              </w:rPr>
            </w:pPr>
          </w:p>
        </w:tc>
        <w:tc>
          <w:tcPr>
            <w:tcW w:w="1134" w:type="dxa"/>
            <w:vMerge w:val="continue"/>
          </w:tcPr>
          <w:p>
            <w:pPr>
              <w:rPr>
                <w:rFonts w:hint="eastAsia" w:ascii="宋体" w:hAnsi="宋体"/>
                <w:szCs w:val="21"/>
              </w:rPr>
            </w:pPr>
          </w:p>
        </w:tc>
        <w:tc>
          <w:tcPr>
            <w:tcW w:w="1559" w:type="dxa"/>
            <w:vMerge w:val="continue"/>
          </w:tcPr>
          <w:p>
            <w:pPr>
              <w:rPr>
                <w:rFonts w:hint="eastAsia" w:ascii="宋体" w:hAnsi="宋体"/>
                <w:szCs w:val="21"/>
              </w:rPr>
            </w:pPr>
          </w:p>
        </w:tc>
        <w:tc>
          <w:tcPr>
            <w:tcW w:w="2693" w:type="dxa"/>
          </w:tcPr>
          <w:p>
            <w:pPr>
              <w:ind w:firstLine="840" w:firstLineChars="400"/>
              <w:rPr>
                <w:rFonts w:ascii="宋体" w:hAnsi="宋体"/>
                <w:szCs w:val="21"/>
              </w:rPr>
            </w:pPr>
            <w:r>
              <w:rPr>
                <w:rFonts w:hint="eastAsia" w:ascii="宋体" w:hAnsi="宋体"/>
                <w:szCs w:val="21"/>
              </w:rPr>
              <w:t>技能</w:t>
            </w:r>
          </w:p>
          <w:p>
            <w:pPr>
              <w:rPr>
                <w:rFonts w:hint="eastAsia" w:ascii="宋体" w:hAnsi="宋体"/>
                <w:szCs w:val="21"/>
              </w:rPr>
            </w:pPr>
            <w:r>
              <w:rPr>
                <w:rFonts w:hint="eastAsia" w:ascii="宋体" w:hAnsi="宋体"/>
                <w:szCs w:val="21"/>
              </w:rPr>
              <w:t>（基本技能+职业技能）</w:t>
            </w:r>
          </w:p>
        </w:tc>
        <w:tc>
          <w:tcPr>
            <w:tcW w:w="2573" w:type="dxa"/>
          </w:tcPr>
          <w:p>
            <w:pPr>
              <w:ind w:firstLine="840" w:firstLineChars="400"/>
              <w:rPr>
                <w:rFonts w:ascii="宋体" w:hAnsi="宋体"/>
                <w:szCs w:val="21"/>
              </w:rPr>
            </w:pPr>
            <w:r>
              <w:rPr>
                <w:rFonts w:hint="eastAsia" w:ascii="宋体" w:hAnsi="宋体"/>
                <w:szCs w:val="21"/>
              </w:rPr>
              <w:t>素质</w:t>
            </w:r>
          </w:p>
          <w:p>
            <w:pPr>
              <w:rPr>
                <w:rFonts w:hint="eastAsia" w:ascii="宋体" w:hAnsi="宋体"/>
                <w:szCs w:val="21"/>
              </w:rPr>
            </w:pPr>
            <w:r>
              <w:rPr>
                <w:rFonts w:hint="eastAsia" w:ascii="宋体" w:hAnsi="宋体"/>
                <w:szCs w:val="21"/>
              </w:rPr>
              <w:t>（基本素质+职业素质）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ascii="宋体" w:hAnsi="宋体"/>
                <w:szCs w:val="21"/>
              </w:rPr>
            </w:pPr>
            <w:r>
              <w:rPr>
                <w:rFonts w:hint="eastAsia" w:ascii="宋体" w:hAnsi="宋体"/>
                <w:szCs w:val="21"/>
              </w:rPr>
              <w:t>投资公司理财顾问</w:t>
            </w:r>
          </w:p>
        </w:tc>
        <w:tc>
          <w:tcPr>
            <w:tcW w:w="1134" w:type="dxa"/>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建立和界定与客户的关系</w:t>
            </w:r>
            <w:r>
              <w:rPr>
                <w:rFonts w:hint="eastAsia" w:ascii="宋体" w:hAnsi="宋体"/>
                <w:szCs w:val="21"/>
                <w:lang w:eastAsia="zh-CN"/>
              </w:rPr>
              <w:t>；</w:t>
            </w:r>
            <w:r>
              <w:rPr>
                <w:rFonts w:hint="eastAsia" w:ascii="宋体" w:hAnsi="宋体"/>
                <w:szCs w:val="21"/>
              </w:rPr>
              <w:t>2诊断财务状况；3明确理财目标；4制定行动计划；5执行理财规划；6检查评估和修改理财规划</w:t>
            </w:r>
          </w:p>
          <w:p>
            <w:pPr>
              <w:rPr>
                <w:rFonts w:hint="eastAsia" w:ascii="宋体" w:hAnsi="宋体"/>
                <w:szCs w:val="21"/>
              </w:rPr>
            </w:pPr>
          </w:p>
        </w:tc>
        <w:tc>
          <w:tcPr>
            <w:tcW w:w="1559" w:type="dxa"/>
          </w:tcPr>
          <w:p>
            <w:pPr>
              <w:rPr>
                <w:rFonts w:hint="eastAsia" w:ascii="宋体" w:hAnsi="宋体"/>
                <w:szCs w:val="21"/>
              </w:rPr>
            </w:pPr>
            <w:r>
              <w:rPr>
                <w:rFonts w:hint="eastAsia" w:ascii="宋体" w:hAnsi="宋体"/>
                <w:szCs w:val="21"/>
              </w:rPr>
              <w:t>依据客户的风险偏好和资金情况，为客户诊断财务状况；依据客户的风险偏好，为客户制定先匹配的风险属性的投资组合产品和投资策略</w:t>
            </w:r>
          </w:p>
        </w:tc>
        <w:tc>
          <w:tcPr>
            <w:tcW w:w="2693" w:type="dxa"/>
          </w:tcPr>
          <w:p>
            <w:pPr>
              <w:rPr>
                <w:rFonts w:ascii="宋体" w:hAnsi="宋体"/>
                <w:szCs w:val="21"/>
              </w:rPr>
            </w:pPr>
            <w:r>
              <w:rPr>
                <w:rFonts w:hint="eastAsia" w:ascii="宋体" w:hAnsi="宋体"/>
                <w:szCs w:val="21"/>
              </w:rPr>
              <w:t>基本技能：收集整理信息的能力，语言表达能力、营销能力，市场分析能力，策划能力</w:t>
            </w:r>
          </w:p>
          <w:p>
            <w:pPr>
              <w:rPr>
                <w:rFonts w:hint="eastAsia" w:ascii="宋体" w:hAnsi="宋体"/>
                <w:szCs w:val="21"/>
              </w:rPr>
            </w:pPr>
            <w:r>
              <w:rPr>
                <w:rFonts w:hint="eastAsia" w:ascii="宋体" w:hAnsi="宋体"/>
                <w:szCs w:val="21"/>
              </w:rPr>
              <w:t>职业技能：金融及理财的基本原理，投资及理财的基本原理，证券理财的基本原理，金融风险控制，市场营销和推销技巧额概念，大数据分析能力；风险和收益的权衡；货币时间价值</w:t>
            </w:r>
          </w:p>
        </w:tc>
        <w:tc>
          <w:tcPr>
            <w:tcW w:w="2573" w:type="dxa"/>
          </w:tcPr>
          <w:p>
            <w:pPr>
              <w:rPr>
                <w:rFonts w:hint="eastAsia" w:ascii="宋体" w:hAnsi="宋体"/>
                <w:szCs w:val="21"/>
              </w:rPr>
            </w:pPr>
            <w:r>
              <w:rPr>
                <w:rFonts w:hint="eastAsia" w:ascii="宋体" w:hAnsi="宋体"/>
                <w:szCs w:val="21"/>
              </w:rPr>
              <w:t>爱国守法，正直诚信、客观公正、保密精神；心理承受能力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ascii="宋体" w:hAnsi="宋体"/>
                <w:szCs w:val="21"/>
              </w:rPr>
            </w:pPr>
            <w:r>
              <w:rPr>
                <w:rFonts w:hint="eastAsia" w:ascii="宋体" w:hAnsi="宋体"/>
                <w:szCs w:val="21"/>
              </w:rPr>
              <w:t>大数据征信经理</w:t>
            </w:r>
          </w:p>
        </w:tc>
        <w:tc>
          <w:tcPr>
            <w:tcW w:w="1134" w:type="dxa"/>
          </w:tcPr>
          <w:p>
            <w:pPr>
              <w:rPr>
                <w:rFonts w:hint="eastAsia" w:ascii="宋体" w:hAnsi="宋体"/>
                <w:szCs w:val="21"/>
              </w:rPr>
            </w:pPr>
            <w:r>
              <w:rPr>
                <w:rFonts w:hint="eastAsia" w:ascii="宋体" w:hAnsi="宋体"/>
                <w:szCs w:val="21"/>
              </w:rPr>
              <w:t>1</w:t>
            </w:r>
            <w:r>
              <w:rPr>
                <w:rFonts w:ascii="宋体" w:hAnsi="宋体"/>
                <w:szCs w:val="21"/>
              </w:rPr>
              <w:t>.</w:t>
            </w:r>
            <w:r>
              <w:rPr>
                <w:rFonts w:hint="eastAsia" w:ascii="宋体" w:hAnsi="宋体"/>
                <w:szCs w:val="21"/>
              </w:rPr>
              <w:t>收集潜在客户信息；2与潜在客户建立联系，并对客户的信用信息进行调查3</w:t>
            </w:r>
            <w:r>
              <w:rPr>
                <w:rFonts w:ascii="宋体" w:hAnsi="宋体"/>
                <w:szCs w:val="21"/>
              </w:rPr>
              <w:t>.</w:t>
            </w:r>
            <w:r>
              <w:rPr>
                <w:rFonts w:hint="eastAsia" w:ascii="宋体" w:hAnsi="宋体"/>
                <w:szCs w:val="21"/>
              </w:rPr>
              <w:t>确定将潜在客户转变为现实客户的成本和风险，4与合格客户达成交易</w:t>
            </w:r>
          </w:p>
        </w:tc>
        <w:tc>
          <w:tcPr>
            <w:tcW w:w="1559" w:type="dxa"/>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收集客户信息</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调查客户资信情况</w:t>
            </w:r>
          </w:p>
          <w:p>
            <w:pPr>
              <w:rPr>
                <w:rFonts w:hint="eastAsia" w:ascii="宋体" w:hAnsi="宋体"/>
                <w:szCs w:val="21"/>
              </w:rPr>
            </w:pPr>
            <w:r>
              <w:rPr>
                <w:rFonts w:hint="eastAsia" w:ascii="宋体" w:hAnsi="宋体"/>
                <w:szCs w:val="21"/>
              </w:rPr>
              <w:t>3形成个人信用评估报告或企业信用报告</w:t>
            </w:r>
          </w:p>
        </w:tc>
        <w:tc>
          <w:tcPr>
            <w:tcW w:w="2693" w:type="dxa"/>
          </w:tcPr>
          <w:p>
            <w:pPr>
              <w:rPr>
                <w:rFonts w:ascii="宋体" w:hAnsi="宋体"/>
                <w:szCs w:val="21"/>
              </w:rPr>
            </w:pPr>
            <w:r>
              <w:rPr>
                <w:rFonts w:hint="eastAsia" w:ascii="宋体" w:hAnsi="宋体"/>
                <w:szCs w:val="21"/>
              </w:rPr>
              <w:t>基本技能：收集整理信息的能力，语言表达能力、营销能力，市场分析能力，策划能力</w:t>
            </w:r>
          </w:p>
          <w:p>
            <w:pPr>
              <w:rPr>
                <w:rFonts w:hint="eastAsia" w:ascii="宋体" w:hAnsi="宋体"/>
                <w:szCs w:val="21"/>
              </w:rPr>
            </w:pPr>
            <w:r>
              <w:rPr>
                <w:rFonts w:hint="eastAsia" w:ascii="宋体" w:hAnsi="宋体"/>
                <w:szCs w:val="21"/>
              </w:rPr>
              <w:t>职业技能：信用数据的收集渠道和收集方法；征信报告的制作；征信报告的解读</w:t>
            </w:r>
          </w:p>
        </w:tc>
        <w:tc>
          <w:tcPr>
            <w:tcW w:w="2573" w:type="dxa"/>
          </w:tcPr>
          <w:p>
            <w:pPr>
              <w:rPr>
                <w:rFonts w:hint="eastAsia" w:ascii="宋体" w:hAnsi="宋体"/>
                <w:szCs w:val="21"/>
              </w:rPr>
            </w:pPr>
            <w:r>
              <w:rPr>
                <w:rFonts w:hint="eastAsia" w:ascii="宋体" w:hAnsi="宋体"/>
                <w:szCs w:val="21"/>
              </w:rPr>
              <w:t>爱国守法，正直诚信、客观公正、保密精神；心理承受能力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hint="eastAsia" w:ascii="宋体" w:hAnsi="宋体"/>
                <w:szCs w:val="21"/>
              </w:rPr>
            </w:pPr>
            <w:r>
              <w:rPr>
                <w:rFonts w:hint="eastAsia" w:ascii="宋体" w:hAnsi="宋体"/>
                <w:szCs w:val="21"/>
              </w:rPr>
              <w:t>银行业务经理</w:t>
            </w:r>
          </w:p>
        </w:tc>
        <w:tc>
          <w:tcPr>
            <w:tcW w:w="1134" w:type="dxa"/>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询问客户需求</w:t>
            </w:r>
          </w:p>
          <w:p>
            <w:pPr>
              <w:rPr>
                <w:rFonts w:ascii="宋体" w:hAnsi="宋体"/>
                <w:szCs w:val="21"/>
              </w:rPr>
            </w:pPr>
            <w:r>
              <w:rPr>
                <w:rFonts w:hint="eastAsia" w:ascii="宋体" w:hAnsi="宋体"/>
                <w:szCs w:val="21"/>
              </w:rPr>
              <w:t>2．依据客户需求进行相关业务处理</w:t>
            </w:r>
          </w:p>
          <w:p>
            <w:pPr>
              <w:rPr>
                <w:rFonts w:hint="eastAsia" w:ascii="宋体" w:hAnsi="宋体"/>
                <w:szCs w:val="21"/>
              </w:rPr>
            </w:pPr>
            <w:r>
              <w:rPr>
                <w:rFonts w:hint="eastAsia" w:ascii="宋体" w:hAnsi="宋体"/>
                <w:szCs w:val="21"/>
              </w:rPr>
              <w:t>3、客户反馈</w:t>
            </w:r>
          </w:p>
        </w:tc>
        <w:tc>
          <w:tcPr>
            <w:tcW w:w="1559" w:type="dxa"/>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客户服务基本知识</w:t>
            </w:r>
          </w:p>
          <w:p>
            <w:pPr>
              <w:rPr>
                <w:rFonts w:ascii="宋体" w:hAnsi="宋体"/>
                <w:szCs w:val="21"/>
              </w:rPr>
            </w:pPr>
            <w:r>
              <w:rPr>
                <w:rFonts w:hint="eastAsia" w:ascii="宋体" w:hAnsi="宋体"/>
                <w:szCs w:val="21"/>
              </w:rPr>
              <w:t>2．银行基本业务流程</w:t>
            </w:r>
          </w:p>
          <w:p>
            <w:pPr>
              <w:rPr>
                <w:rFonts w:hint="eastAsia" w:ascii="宋体" w:hAnsi="宋体"/>
                <w:szCs w:val="21"/>
              </w:rPr>
            </w:pPr>
            <w:r>
              <w:rPr>
                <w:rFonts w:hint="eastAsia" w:ascii="宋体" w:hAnsi="宋体"/>
                <w:szCs w:val="21"/>
              </w:rPr>
              <w:t>3</w:t>
            </w:r>
            <w:r>
              <w:rPr>
                <w:rFonts w:ascii="宋体" w:hAnsi="宋体"/>
                <w:szCs w:val="21"/>
              </w:rPr>
              <w:t>.</w:t>
            </w:r>
            <w:r>
              <w:rPr>
                <w:rFonts w:hint="eastAsia" w:ascii="宋体" w:hAnsi="宋体"/>
                <w:szCs w:val="21"/>
              </w:rPr>
              <w:t>营销基本技能</w:t>
            </w:r>
          </w:p>
        </w:tc>
        <w:tc>
          <w:tcPr>
            <w:tcW w:w="2693" w:type="dxa"/>
          </w:tcPr>
          <w:p>
            <w:pPr>
              <w:rPr>
                <w:rFonts w:ascii="宋体" w:hAnsi="宋体"/>
                <w:szCs w:val="21"/>
              </w:rPr>
            </w:pPr>
            <w:r>
              <w:rPr>
                <w:rFonts w:hint="eastAsia" w:ascii="宋体" w:hAnsi="宋体"/>
                <w:szCs w:val="21"/>
              </w:rPr>
              <w:t>基本技能：收集整理信息的能力，语言表达能力、营销能力，市场分析能力，策划能力</w:t>
            </w:r>
          </w:p>
          <w:p>
            <w:pPr>
              <w:rPr>
                <w:rFonts w:hint="eastAsia" w:ascii="宋体" w:hAnsi="宋体"/>
                <w:szCs w:val="21"/>
              </w:rPr>
            </w:pPr>
            <w:r>
              <w:rPr>
                <w:rFonts w:hint="eastAsia" w:ascii="宋体" w:hAnsi="宋体"/>
                <w:szCs w:val="21"/>
              </w:rPr>
              <w:t>职业技能：1</w:t>
            </w:r>
            <w:r>
              <w:rPr>
                <w:rFonts w:ascii="宋体" w:hAnsi="宋体"/>
                <w:szCs w:val="21"/>
              </w:rPr>
              <w:t>.</w:t>
            </w:r>
            <w:r>
              <w:rPr>
                <w:rFonts w:hint="eastAsia" w:ascii="宋体" w:hAnsi="宋体"/>
                <w:szCs w:val="21"/>
              </w:rPr>
              <w:t>银行业务处理的流程；2</w:t>
            </w:r>
            <w:r>
              <w:rPr>
                <w:rFonts w:ascii="宋体" w:hAnsi="宋体"/>
                <w:szCs w:val="21"/>
              </w:rPr>
              <w:t>.</w:t>
            </w:r>
            <w:r>
              <w:rPr>
                <w:rFonts w:hint="eastAsia" w:ascii="宋体" w:hAnsi="宋体"/>
                <w:szCs w:val="21"/>
              </w:rPr>
              <w:t>客户服务与沟通的流程和技巧；3.处理客户投诉的办法；4</w:t>
            </w:r>
            <w:r>
              <w:rPr>
                <w:rFonts w:ascii="宋体" w:hAnsi="宋体"/>
                <w:szCs w:val="21"/>
              </w:rPr>
              <w:t>.</w:t>
            </w:r>
            <w:r>
              <w:rPr>
                <w:rFonts w:hint="eastAsia" w:ascii="宋体" w:hAnsi="宋体"/>
                <w:szCs w:val="21"/>
              </w:rPr>
              <w:t>银行理财产品的掌握</w:t>
            </w:r>
          </w:p>
        </w:tc>
        <w:tc>
          <w:tcPr>
            <w:tcW w:w="2573" w:type="dxa"/>
          </w:tcPr>
          <w:p>
            <w:pPr>
              <w:rPr>
                <w:rFonts w:hint="eastAsia" w:ascii="宋体" w:hAnsi="宋体"/>
                <w:szCs w:val="21"/>
              </w:rPr>
            </w:pPr>
            <w:r>
              <w:rPr>
                <w:rFonts w:hint="eastAsia" w:ascii="宋体" w:hAnsi="宋体"/>
                <w:szCs w:val="21"/>
              </w:rPr>
              <w:t>爱国守法，正直诚信、客观公正、保密精神；心理承受能力</w:t>
            </w:r>
          </w:p>
        </w:tc>
      </w:tr>
    </w:tbl>
    <w:p>
      <w:pPr>
        <w:ind w:firstLine="420"/>
        <w:rPr>
          <w:rFonts w:hint="eastAsia" w:ascii="宋体" w:hAnsi="宋体"/>
          <w:sz w:val="24"/>
        </w:rPr>
      </w:pPr>
    </w:p>
    <w:p>
      <w:pPr>
        <w:spacing w:line="440" w:lineRule="exact"/>
        <w:ind w:firstLine="470" w:firstLineChars="196"/>
        <w:rPr>
          <w:rFonts w:hint="eastAsia"/>
          <w:color w:val="000000"/>
          <w:sz w:val="24"/>
        </w:rPr>
      </w:pPr>
    </w:p>
    <w:p>
      <w:pPr>
        <w:pStyle w:val="44"/>
        <w:ind w:firstLine="480"/>
      </w:pPr>
      <w:bookmarkStart w:id="38" w:name="_Toc78431507"/>
      <w:bookmarkStart w:id="39" w:name="_Toc75253702"/>
      <w:bookmarkStart w:id="40" w:name="_Toc445"/>
      <w:r>
        <w:rPr>
          <w:rFonts w:hint="eastAsia"/>
        </w:rPr>
        <w:t>（三）专业人才培养目标</w:t>
      </w:r>
      <w:bookmarkEnd w:id="38"/>
      <w:bookmarkEnd w:id="39"/>
      <w:bookmarkEnd w:id="40"/>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color w:val="000000"/>
          <w:sz w:val="24"/>
        </w:rPr>
        <w:t>立足高等职业教育，面向生产（生活）服务行业，</w:t>
      </w:r>
      <w:r>
        <w:rPr>
          <w:rFonts w:hint="eastAsia" w:ascii="宋体" w:hAnsi="宋体"/>
          <w:color w:val="000000"/>
          <w:sz w:val="24"/>
        </w:rPr>
        <w:t>培养思想政治坚定、德技并修，具有全球视野，适应区域经济对金融科技类专业人才需要，具有较高的职业素质，掌握金融基础理论与实务，能够运用大数据等科技手段解决金融行业业务痛点的能力，面向传统金融企业与新兴互联网金融科技企业，符合互联网金融行业发展需要的“精操作、能管理、懂经营、善创新”</w:t>
      </w:r>
      <w:r>
        <w:rPr>
          <w:rFonts w:ascii="宋体" w:hAnsi="宋体"/>
          <w:color w:val="000000"/>
          <w:sz w:val="24"/>
        </w:rPr>
        <w:t>的</w:t>
      </w:r>
      <w:r>
        <w:rPr>
          <w:rFonts w:hint="eastAsia" w:ascii="宋体" w:hAnsi="宋体"/>
          <w:color w:val="000000"/>
          <w:sz w:val="24"/>
        </w:rPr>
        <w:t>高端技术技能型互联网金融科技类人才。能够适应银行、证券、金融科技、监管科技等领域需要的</w:t>
      </w:r>
      <w:r>
        <w:rPr>
          <w:rFonts w:hint="eastAsia"/>
          <w:color w:val="000000"/>
          <w:sz w:val="24"/>
        </w:rPr>
        <w:t>具有实际操作能力、可持续发展的高端</w:t>
      </w:r>
      <w:r>
        <w:rPr>
          <w:rFonts w:hint="eastAsia" w:ascii="宋体" w:hAnsi="宋体"/>
          <w:color w:val="000000"/>
          <w:sz w:val="24"/>
        </w:rPr>
        <w:t>金融应用创新型人才</w:t>
      </w:r>
      <w:r>
        <w:rPr>
          <w:rFonts w:hint="eastAsia"/>
          <w:color w:val="000000"/>
          <w:sz w:val="24"/>
        </w:rPr>
        <w:t>技能型专业人才。</w:t>
      </w:r>
    </w:p>
    <w:p>
      <w:pPr>
        <w:pStyle w:val="44"/>
        <w:ind w:firstLine="480"/>
      </w:pPr>
      <w:bookmarkStart w:id="41" w:name="_Toc78431508"/>
      <w:bookmarkStart w:id="42" w:name="_Toc75253703"/>
      <w:bookmarkStart w:id="43" w:name="_Toc16053"/>
      <w:r>
        <w:rPr>
          <w:rFonts w:hint="eastAsia"/>
        </w:rPr>
        <w:t>（四）专业人才培养水平定位</w:t>
      </w:r>
      <w:bookmarkEnd w:id="41"/>
      <w:bookmarkEnd w:id="42"/>
      <w:bookmarkEnd w:id="43"/>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65"/>
        <w:jc w:val="left"/>
        <w:textAlignment w:val="auto"/>
        <w:rPr>
          <w:rFonts w:ascii="宋体" w:hAnsi="宋体" w:cs="宋体"/>
          <w:color w:val="000000"/>
          <w:kern w:val="0"/>
          <w:sz w:val="24"/>
        </w:rPr>
      </w:pPr>
      <w:r>
        <w:rPr>
          <w:rFonts w:hint="eastAsia" w:ascii="宋体" w:hAnsi="宋体" w:cs="宋体"/>
          <w:color w:val="000000"/>
          <w:kern w:val="0"/>
          <w:sz w:val="24"/>
        </w:rPr>
        <w:t>经济学与金融学、统计学、计算机技术尤其是互联网、大数据、区块链、人工智能等多学科交叉知识的学习和掌握，突出现代科技在金融领域融合应用的教学与研究，培养适应当今金融科技发展所需的复合型专业人才。培养目标定位于具有区域特色的应用型管理人才。专业课程设置强调培养学生的应用能力，特别是理财产品营销、证券投资与理财、大数据征信专员人才。能够结合当前实用型证券产品设计方法技术，与高效的数据分析技术，培养能够适应当今金融科技行业与企业发展的创新复合型人才。获取证券从业资格证。</w:t>
      </w:r>
    </w:p>
    <w:p>
      <w:pPr>
        <w:pStyle w:val="44"/>
        <w:ind w:firstLine="480"/>
      </w:pPr>
      <w:bookmarkStart w:id="44" w:name="_Toc75253704"/>
      <w:bookmarkStart w:id="45" w:name="_Toc7426"/>
      <w:bookmarkStart w:id="46" w:name="_Toc78431509"/>
      <w:r>
        <w:rPr>
          <w:rFonts w:hint="eastAsia"/>
        </w:rPr>
        <w:t>（五）专业人才规格与知识能力定位（加入徐涵老师培养规格部分）</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结合金融行业对本专业人才的需求，对应本专业主要就业岗位群及岗位能力要求，本专业人才规格与知识能力定位是：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ascii="宋体" w:hAnsi="宋体"/>
          <w:color w:val="000000"/>
          <w:sz w:val="24"/>
        </w:rPr>
        <w:t>以金融学所涵盖的基本知识为基础，以金融科技专业所需具备的大数据分析与应用能力、金融产品设计与营销能力、客户征信调查能力和金融产品客户营销能力为重点，以爱岗敬业的职业素质为核心，培养能够适应金融科技类企业所需的高素质、强技能、创新型专业人才，毕业生初次就业能够胜任</w:t>
      </w:r>
      <w:bookmarkStart w:id="47" w:name="_Hlk73013544"/>
      <w:r>
        <w:rPr>
          <w:rFonts w:hint="eastAsia" w:ascii="宋体" w:hAnsi="宋体"/>
          <w:color w:val="000000"/>
          <w:sz w:val="24"/>
        </w:rPr>
        <w:t>各类银行、证券公司、金融科技公司</w:t>
      </w:r>
      <w:r>
        <w:rPr>
          <w:rFonts w:hint="eastAsia" w:ascii="宋体" w:hAnsi="宋体"/>
          <w:color w:val="000000"/>
          <w:sz w:val="24"/>
          <w:lang w:eastAsia="zh-CN"/>
        </w:rPr>
        <w:t>、</w:t>
      </w:r>
      <w:r>
        <w:rPr>
          <w:rFonts w:hint="eastAsia" w:ascii="宋体" w:hAnsi="宋体"/>
          <w:color w:val="000000"/>
          <w:sz w:val="24"/>
        </w:rPr>
        <w:t>金融管理部门</w:t>
      </w:r>
      <w:bookmarkEnd w:id="47"/>
      <w:r>
        <w:rPr>
          <w:rFonts w:hint="eastAsia" w:ascii="宋体" w:hAnsi="宋体"/>
          <w:color w:val="000000"/>
          <w:sz w:val="24"/>
        </w:rPr>
        <w:t>一线投资公司理财顾问</w:t>
      </w:r>
      <w:r>
        <w:rPr>
          <w:rFonts w:hint="eastAsia" w:ascii="宋体" w:hAnsi="宋体"/>
          <w:color w:val="000000"/>
          <w:sz w:val="24"/>
          <w:lang w:eastAsia="zh-CN"/>
        </w:rPr>
        <w:t>、</w:t>
      </w:r>
      <w:r>
        <w:rPr>
          <w:rFonts w:hint="eastAsia" w:ascii="宋体" w:hAnsi="宋体"/>
          <w:color w:val="000000"/>
          <w:sz w:val="24"/>
        </w:rPr>
        <w:t>大数据征信员和银行业务经理等岗位，经过3-5年以后，能够胜任各类银行、证券公司、金融科技公司和金融管理部门互联网金融运营经理等中层岗位，并有未来持续发展空间。</w:t>
      </w:r>
    </w:p>
    <w:p>
      <w:pPr>
        <w:pStyle w:val="44"/>
        <w:ind w:firstLine="480"/>
      </w:pPr>
      <w:bookmarkStart w:id="48" w:name="_Toc75253705"/>
      <w:bookmarkStart w:id="49" w:name="_Toc5421"/>
      <w:bookmarkStart w:id="50" w:name="_Toc78431510"/>
      <w:r>
        <w:rPr>
          <w:rFonts w:hint="eastAsia"/>
        </w:rPr>
        <w:t>（六）</w:t>
      </w:r>
      <w:r>
        <w:t>人才规格手册</w:t>
      </w:r>
      <w:bookmarkEnd w:id="48"/>
      <w:bookmarkEnd w:id="49"/>
      <w:bookmarkEnd w:id="50"/>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000000"/>
          <w:sz w:val="24"/>
          <w:lang w:eastAsia="zh-CN"/>
        </w:rPr>
      </w:pPr>
      <w:r>
        <w:rPr>
          <w:rFonts w:hint="eastAsia" w:ascii="宋体" w:hAnsi="宋体"/>
          <w:color w:val="000000"/>
          <w:sz w:val="24"/>
        </w:rPr>
        <w:t>本专业毕业生应获得以下几个方面的素质、知识和能力</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1.具有良好的职业认知，拥有人文与科学素养、诚信品质、创新精神和社会责任感。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2.系统掌握经济、金融、大数据分析等方面基础知识，理论和技能，熟悉相关的方针政策和法律法规。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3.通晓证券金融机构核心业务，具备金融市场分析能力、金融大数据分析与应用能力、金融产品创新能力。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4.具备使用统计分析软件等现代信息技术解决实际问题的能力，具备投资理财所需的知识与技能，具备利用大数据进行征信调查分析的能力，具备处理银行、证券公司和财务管理公司基本业务流程的能力。</w:t>
      </w:r>
    </w:p>
    <w:p>
      <w:pPr>
        <w:spacing w:line="380" w:lineRule="exact"/>
        <w:ind w:firstLine="480" w:firstLineChars="200"/>
        <w:rPr>
          <w:rFonts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具有较强的思辨能力、沟通能力和团队协作精神，具有终身自我学习、获取知识的能力。</w:t>
      </w:r>
      <w:bookmarkStart w:id="51" w:name="_Toc15208"/>
      <w:bookmarkStart w:id="52" w:name="_Toc75253706"/>
    </w:p>
    <w:p>
      <w:pPr>
        <w:pStyle w:val="44"/>
        <w:ind w:firstLine="480"/>
      </w:pPr>
      <w:bookmarkStart w:id="53" w:name="_Toc78431511"/>
      <w:r>
        <w:rPr>
          <w:rFonts w:hint="eastAsia"/>
        </w:rPr>
        <w:t>（七）附件</w:t>
      </w:r>
      <w:bookmarkEnd w:id="51"/>
      <w:bookmarkEnd w:id="52"/>
      <w:bookmarkEnd w:id="53"/>
    </w:p>
    <w:p>
      <w:pPr>
        <w:spacing w:line="440" w:lineRule="exact"/>
        <w:ind w:firstLine="480" w:firstLineChars="200"/>
        <w:rPr>
          <w:sz w:val="24"/>
        </w:rPr>
      </w:pPr>
      <w:r>
        <w:rPr>
          <w:rFonts w:hint="eastAsia"/>
          <w:sz w:val="24"/>
        </w:rPr>
        <w:t>附件</w:t>
      </w:r>
      <w:r>
        <w:rPr>
          <w:sz w:val="24"/>
        </w:rPr>
        <w:t>1</w:t>
      </w:r>
      <w:r>
        <w:rPr>
          <w:rFonts w:hint="eastAsia"/>
          <w:sz w:val="24"/>
        </w:rPr>
        <w:t>：金融科技应用专业人才规格手册</w:t>
      </w:r>
    </w:p>
    <w:p>
      <w:pPr>
        <w:pStyle w:val="44"/>
        <w:ind w:firstLine="480"/>
      </w:pPr>
      <w:bookmarkStart w:id="54" w:name="_Toc75253707"/>
      <w:bookmarkStart w:id="55" w:name="_Toc78431512"/>
      <w:bookmarkStart w:id="56" w:name="_Toc1202"/>
      <w:r>
        <w:rPr>
          <w:rFonts w:hint="eastAsia"/>
        </w:rPr>
        <w:t>（八）</w:t>
      </w:r>
      <w:r>
        <w:t>毕业条件</w:t>
      </w:r>
      <w:bookmarkEnd w:id="54"/>
      <w:bookmarkEnd w:id="55"/>
      <w:bookmarkEnd w:id="56"/>
    </w:p>
    <w:p>
      <w:pPr>
        <w:spacing w:line="440" w:lineRule="exact"/>
        <w:ind w:firstLine="480" w:firstLineChars="200"/>
        <w:rPr>
          <w:color w:val="000000"/>
          <w:sz w:val="24"/>
        </w:rPr>
      </w:pPr>
      <w:r>
        <w:rPr>
          <w:rFonts w:hint="eastAsia"/>
          <w:color w:val="000000"/>
          <w:sz w:val="24"/>
        </w:rPr>
        <w:t>1．修满1</w:t>
      </w:r>
      <w:r>
        <w:rPr>
          <w:color w:val="000000"/>
          <w:sz w:val="24"/>
        </w:rPr>
        <w:t>45.5</w:t>
      </w:r>
      <w:r>
        <w:rPr>
          <w:rFonts w:hint="eastAsia"/>
          <w:color w:val="000000"/>
          <w:sz w:val="24"/>
        </w:rPr>
        <w:t>学分，且所有必修课程考核合格</w:t>
      </w:r>
    </w:p>
    <w:p>
      <w:pPr>
        <w:spacing w:line="440" w:lineRule="exact"/>
        <w:ind w:firstLine="480" w:firstLineChars="200"/>
        <w:rPr>
          <w:color w:val="000000"/>
          <w:sz w:val="24"/>
        </w:rPr>
      </w:pPr>
      <w:r>
        <w:rPr>
          <w:rFonts w:hint="eastAsia"/>
          <w:color w:val="000000"/>
          <w:sz w:val="24"/>
        </w:rPr>
        <w:t>2．完成各实践性教学环节的学习，成绩合格</w:t>
      </w:r>
    </w:p>
    <w:p>
      <w:pPr>
        <w:spacing w:line="440" w:lineRule="exact"/>
        <w:ind w:firstLine="480" w:firstLineChars="200"/>
        <w:rPr>
          <w:color w:val="000000"/>
          <w:sz w:val="24"/>
        </w:rPr>
      </w:pPr>
      <w:r>
        <w:rPr>
          <w:rFonts w:hint="eastAsia"/>
          <w:color w:val="000000"/>
          <w:sz w:val="24"/>
        </w:rPr>
        <w:t>3．必须获得本专业教学计划规定的下列技能等级证书</w:t>
      </w:r>
    </w:p>
    <w:p>
      <w:pPr>
        <w:spacing w:line="440" w:lineRule="exact"/>
        <w:ind w:firstLine="480" w:firstLineChars="200"/>
        <w:rPr>
          <w:color w:val="000000"/>
          <w:sz w:val="24"/>
        </w:rPr>
      </w:pPr>
      <w:r>
        <w:rPr>
          <w:rFonts w:hint="eastAsia"/>
          <w:color w:val="000000"/>
          <w:sz w:val="24"/>
        </w:rPr>
        <w:t>见下表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1843"/>
        <w:gridCol w:w="1417"/>
        <w:gridCol w:w="1418"/>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80" w:lineRule="exact"/>
              <w:rPr>
                <w:rFonts w:hint="eastAsia" w:ascii="宋体" w:hAnsi="宋体"/>
                <w:color w:val="000000"/>
                <w:sz w:val="24"/>
              </w:rPr>
            </w:pPr>
            <w:r>
              <w:rPr>
                <w:rFonts w:hint="eastAsia" w:ascii="宋体" w:hAnsi="宋体"/>
                <w:color w:val="000000"/>
                <w:sz w:val="24"/>
              </w:rPr>
              <w:t>序号</w:t>
            </w:r>
          </w:p>
        </w:tc>
        <w:tc>
          <w:tcPr>
            <w:tcW w:w="1276" w:type="dxa"/>
          </w:tcPr>
          <w:p>
            <w:pPr>
              <w:spacing w:line="380" w:lineRule="exact"/>
              <w:rPr>
                <w:rFonts w:hint="eastAsia" w:ascii="宋体" w:hAnsi="宋体"/>
                <w:color w:val="000000"/>
                <w:sz w:val="24"/>
              </w:rPr>
            </w:pPr>
            <w:r>
              <w:rPr>
                <w:rFonts w:hint="eastAsia" w:ascii="宋体" w:hAnsi="宋体"/>
                <w:color w:val="000000"/>
                <w:sz w:val="24"/>
              </w:rPr>
              <w:t>考核项目</w:t>
            </w:r>
          </w:p>
        </w:tc>
        <w:tc>
          <w:tcPr>
            <w:tcW w:w="1843" w:type="dxa"/>
          </w:tcPr>
          <w:p>
            <w:pPr>
              <w:spacing w:line="380" w:lineRule="exact"/>
              <w:rPr>
                <w:rFonts w:hint="eastAsia" w:ascii="宋体" w:hAnsi="宋体"/>
                <w:color w:val="000000"/>
                <w:sz w:val="24"/>
              </w:rPr>
            </w:pPr>
            <w:r>
              <w:rPr>
                <w:rFonts w:hint="eastAsia" w:ascii="宋体" w:hAnsi="宋体"/>
                <w:color w:val="000000"/>
                <w:sz w:val="24"/>
              </w:rPr>
              <w:t>考核发证部门</w:t>
            </w:r>
          </w:p>
        </w:tc>
        <w:tc>
          <w:tcPr>
            <w:tcW w:w="1417" w:type="dxa"/>
          </w:tcPr>
          <w:p>
            <w:pPr>
              <w:spacing w:line="380" w:lineRule="exact"/>
              <w:rPr>
                <w:rFonts w:hint="eastAsia" w:ascii="宋体" w:hAnsi="宋体"/>
                <w:color w:val="000000"/>
                <w:sz w:val="24"/>
              </w:rPr>
            </w:pPr>
            <w:r>
              <w:rPr>
                <w:rFonts w:hint="eastAsia" w:ascii="宋体" w:hAnsi="宋体"/>
                <w:color w:val="000000"/>
                <w:sz w:val="24"/>
              </w:rPr>
              <w:t>等级要求</w:t>
            </w:r>
          </w:p>
        </w:tc>
        <w:tc>
          <w:tcPr>
            <w:tcW w:w="1418" w:type="dxa"/>
          </w:tcPr>
          <w:p>
            <w:pPr>
              <w:spacing w:line="380" w:lineRule="exact"/>
              <w:rPr>
                <w:rFonts w:hint="eastAsia" w:ascii="宋体" w:hAnsi="宋体"/>
                <w:color w:val="000000"/>
                <w:sz w:val="24"/>
              </w:rPr>
            </w:pPr>
            <w:r>
              <w:rPr>
                <w:rFonts w:hint="eastAsia" w:ascii="宋体" w:hAnsi="宋体"/>
                <w:color w:val="000000"/>
                <w:sz w:val="24"/>
              </w:rPr>
              <w:t>考核学期</w:t>
            </w:r>
          </w:p>
        </w:tc>
        <w:tc>
          <w:tcPr>
            <w:tcW w:w="2289" w:type="dxa"/>
          </w:tcPr>
          <w:p>
            <w:pPr>
              <w:spacing w:line="380" w:lineRule="exact"/>
              <w:rPr>
                <w:rFonts w:hint="eastAsia" w:ascii="宋体" w:hAnsi="宋体"/>
                <w:color w:val="000000"/>
                <w:sz w:val="24"/>
              </w:rPr>
            </w:pPr>
            <w:r>
              <w:rPr>
                <w:rFonts w:hint="eastAsia" w:ascii="宋体" w:hAnsi="宋体"/>
                <w:color w:val="000000"/>
                <w:sz w:val="24"/>
              </w:rPr>
              <w:t>考核要求必考/选考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80" w:lineRule="exact"/>
              <w:rPr>
                <w:rFonts w:hint="eastAsia" w:ascii="宋体" w:hAnsi="宋体"/>
                <w:color w:val="000000"/>
                <w:sz w:val="24"/>
              </w:rPr>
            </w:pPr>
            <w:r>
              <w:rPr>
                <w:rFonts w:hint="eastAsia" w:ascii="宋体" w:hAnsi="宋体"/>
                <w:color w:val="000000"/>
                <w:sz w:val="24"/>
              </w:rPr>
              <w:t>1</w:t>
            </w:r>
          </w:p>
        </w:tc>
        <w:tc>
          <w:tcPr>
            <w:tcW w:w="1276" w:type="dxa"/>
          </w:tcPr>
          <w:p>
            <w:pPr>
              <w:spacing w:line="380" w:lineRule="exact"/>
              <w:rPr>
                <w:rFonts w:hint="eastAsia" w:ascii="宋体" w:hAnsi="宋体"/>
                <w:color w:val="000000"/>
                <w:sz w:val="24"/>
              </w:rPr>
            </w:pPr>
            <w:r>
              <w:rPr>
                <w:rFonts w:hint="eastAsia" w:ascii="宋体" w:hAnsi="宋体"/>
                <w:color w:val="000000"/>
                <w:sz w:val="24"/>
              </w:rPr>
              <w:t>证券从业资格证</w:t>
            </w:r>
          </w:p>
        </w:tc>
        <w:tc>
          <w:tcPr>
            <w:tcW w:w="1843" w:type="dxa"/>
          </w:tcPr>
          <w:p>
            <w:pPr>
              <w:spacing w:line="380" w:lineRule="exact"/>
              <w:rPr>
                <w:rFonts w:hint="eastAsia" w:ascii="宋体" w:hAnsi="宋体"/>
                <w:color w:val="000000"/>
                <w:sz w:val="24"/>
              </w:rPr>
            </w:pPr>
            <w:r>
              <w:rPr>
                <w:rFonts w:hint="eastAsia" w:ascii="宋体" w:hAnsi="宋体"/>
                <w:color w:val="000000"/>
                <w:sz w:val="24"/>
              </w:rPr>
              <w:t>中国证券业协会</w:t>
            </w:r>
          </w:p>
        </w:tc>
        <w:tc>
          <w:tcPr>
            <w:tcW w:w="1417" w:type="dxa"/>
          </w:tcPr>
          <w:p>
            <w:pPr>
              <w:spacing w:line="380" w:lineRule="exact"/>
              <w:rPr>
                <w:rFonts w:hint="eastAsia" w:ascii="宋体" w:hAnsi="宋体"/>
                <w:color w:val="000000"/>
                <w:sz w:val="24"/>
              </w:rPr>
            </w:pPr>
            <w:r>
              <w:rPr>
                <w:rFonts w:hint="eastAsia" w:ascii="宋体" w:hAnsi="宋体"/>
                <w:color w:val="000000"/>
                <w:sz w:val="24"/>
              </w:rPr>
              <w:t>从业证</w:t>
            </w:r>
          </w:p>
        </w:tc>
        <w:tc>
          <w:tcPr>
            <w:tcW w:w="1418" w:type="dxa"/>
          </w:tcPr>
          <w:p>
            <w:pPr>
              <w:spacing w:line="380" w:lineRule="exact"/>
              <w:rPr>
                <w:rFonts w:hint="eastAsia" w:ascii="宋体" w:hAnsi="宋体"/>
                <w:color w:val="000000"/>
                <w:sz w:val="24"/>
              </w:rPr>
            </w:pPr>
            <w:r>
              <w:rPr>
                <w:rFonts w:hint="eastAsia" w:ascii="宋体" w:hAnsi="宋体"/>
                <w:color w:val="000000"/>
                <w:sz w:val="24"/>
              </w:rPr>
              <w:t>2-</w:t>
            </w:r>
            <w:r>
              <w:rPr>
                <w:rFonts w:ascii="宋体" w:hAnsi="宋体"/>
                <w:color w:val="000000"/>
                <w:sz w:val="24"/>
              </w:rPr>
              <w:t>6</w:t>
            </w:r>
            <w:r>
              <w:rPr>
                <w:rFonts w:hint="eastAsia" w:ascii="宋体" w:hAnsi="宋体"/>
                <w:color w:val="000000"/>
                <w:sz w:val="24"/>
              </w:rPr>
              <w:t>学期</w:t>
            </w:r>
          </w:p>
        </w:tc>
        <w:tc>
          <w:tcPr>
            <w:tcW w:w="2289" w:type="dxa"/>
          </w:tcPr>
          <w:p>
            <w:pPr>
              <w:spacing w:line="380" w:lineRule="exact"/>
              <w:rPr>
                <w:rFonts w:hint="eastAsia" w:ascii="宋体" w:hAnsi="宋体"/>
                <w:color w:val="000000"/>
                <w:sz w:val="24"/>
              </w:rPr>
            </w:pPr>
            <w:r>
              <w:rPr>
                <w:rFonts w:hint="eastAsia" w:ascii="宋体" w:hAnsi="宋体"/>
                <w:color w:val="000000"/>
                <w:sz w:val="24"/>
                <w:lang w:val="en-US" w:eastAsia="zh-CN"/>
              </w:rPr>
              <w:t>选</w:t>
            </w:r>
            <w:r>
              <w:rPr>
                <w:rFonts w:hint="eastAsia" w:ascii="宋体" w:hAnsi="宋体"/>
                <w:color w:val="000000"/>
                <w:sz w:val="24"/>
              </w:rPr>
              <w:t>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80" w:lineRule="exact"/>
              <w:rPr>
                <w:rFonts w:hint="eastAsia" w:ascii="宋体" w:hAnsi="宋体"/>
                <w:color w:val="000000"/>
                <w:sz w:val="24"/>
              </w:rPr>
            </w:pPr>
            <w:r>
              <w:rPr>
                <w:rFonts w:hint="eastAsia" w:ascii="宋体" w:hAnsi="宋体"/>
                <w:color w:val="000000"/>
                <w:sz w:val="24"/>
              </w:rPr>
              <w:t>2</w:t>
            </w:r>
          </w:p>
        </w:tc>
        <w:tc>
          <w:tcPr>
            <w:tcW w:w="1276" w:type="dxa"/>
          </w:tcPr>
          <w:p>
            <w:pPr>
              <w:spacing w:line="380" w:lineRule="exact"/>
              <w:rPr>
                <w:rFonts w:hint="eastAsia" w:ascii="宋体" w:hAnsi="宋体"/>
                <w:color w:val="000000"/>
                <w:sz w:val="24"/>
              </w:rPr>
            </w:pPr>
            <w:r>
              <w:rPr>
                <w:rFonts w:hint="eastAsia" w:ascii="宋体" w:hAnsi="宋体"/>
                <w:color w:val="000000"/>
                <w:sz w:val="24"/>
              </w:rPr>
              <w:t>英语等级考试</w:t>
            </w:r>
          </w:p>
        </w:tc>
        <w:tc>
          <w:tcPr>
            <w:tcW w:w="1843" w:type="dxa"/>
          </w:tcPr>
          <w:p>
            <w:pPr>
              <w:spacing w:line="380" w:lineRule="exact"/>
              <w:rPr>
                <w:rFonts w:hint="eastAsia" w:ascii="宋体" w:hAnsi="宋体"/>
                <w:color w:val="000000"/>
                <w:sz w:val="24"/>
              </w:rPr>
            </w:pPr>
            <w:r>
              <w:rPr>
                <w:rFonts w:hint="eastAsia" w:ascii="宋体" w:hAnsi="宋体"/>
                <w:color w:val="000000"/>
                <w:sz w:val="24"/>
              </w:rPr>
              <w:t>高等学校英语应用能力考核委员会</w:t>
            </w:r>
          </w:p>
        </w:tc>
        <w:tc>
          <w:tcPr>
            <w:tcW w:w="1417" w:type="dxa"/>
          </w:tcPr>
          <w:p>
            <w:pPr>
              <w:spacing w:line="380" w:lineRule="exact"/>
              <w:rPr>
                <w:rFonts w:hint="eastAsia" w:ascii="宋体" w:hAnsi="宋体"/>
                <w:color w:val="000000"/>
                <w:sz w:val="24"/>
              </w:rPr>
            </w:pPr>
            <w:r>
              <w:rPr>
                <w:rFonts w:hint="eastAsia" w:ascii="宋体" w:hAnsi="宋体"/>
                <w:color w:val="000000"/>
                <w:sz w:val="24"/>
              </w:rPr>
              <w:t>B级及以上</w:t>
            </w:r>
          </w:p>
        </w:tc>
        <w:tc>
          <w:tcPr>
            <w:tcW w:w="1418" w:type="dxa"/>
          </w:tcPr>
          <w:p>
            <w:pPr>
              <w:spacing w:line="380" w:lineRule="exact"/>
              <w:rPr>
                <w:rFonts w:hint="eastAsia" w:ascii="宋体" w:hAnsi="宋体"/>
                <w:color w:val="000000"/>
                <w:sz w:val="24"/>
              </w:rPr>
            </w:pPr>
            <w:r>
              <w:rPr>
                <w:rFonts w:hint="eastAsia" w:ascii="宋体" w:hAnsi="宋体"/>
                <w:color w:val="000000"/>
                <w:sz w:val="24"/>
              </w:rPr>
              <w:t>1-</w:t>
            </w:r>
            <w:r>
              <w:rPr>
                <w:rFonts w:ascii="宋体" w:hAnsi="宋体"/>
                <w:color w:val="000000"/>
                <w:sz w:val="24"/>
              </w:rPr>
              <w:t>6</w:t>
            </w:r>
            <w:r>
              <w:rPr>
                <w:rFonts w:hint="eastAsia" w:ascii="宋体" w:hAnsi="宋体"/>
                <w:color w:val="000000"/>
                <w:sz w:val="24"/>
              </w:rPr>
              <w:t>学期</w:t>
            </w:r>
          </w:p>
        </w:tc>
        <w:tc>
          <w:tcPr>
            <w:tcW w:w="2289" w:type="dxa"/>
          </w:tcPr>
          <w:p>
            <w:pPr>
              <w:spacing w:line="380" w:lineRule="exact"/>
              <w:rPr>
                <w:rFonts w:hint="eastAsia" w:ascii="宋体" w:hAnsi="宋体"/>
                <w:color w:val="000000"/>
                <w:sz w:val="24"/>
              </w:rPr>
            </w:pPr>
            <w:r>
              <w:rPr>
                <w:rFonts w:hint="eastAsia" w:ascii="宋体" w:hAnsi="宋体"/>
                <w:color w:val="000000"/>
                <w:sz w:val="24"/>
                <w:lang w:val="en-US" w:eastAsia="zh-CN"/>
              </w:rPr>
              <w:t>选</w:t>
            </w:r>
            <w:r>
              <w:rPr>
                <w:rFonts w:hint="eastAsia" w:ascii="宋体" w:hAnsi="宋体"/>
                <w:color w:val="000000"/>
                <w:sz w:val="24"/>
              </w:rPr>
              <w:t>考</w:t>
            </w:r>
          </w:p>
        </w:tc>
      </w:tr>
    </w:tbl>
    <w:p>
      <w:pPr>
        <w:spacing w:line="440" w:lineRule="exact"/>
        <w:ind w:firstLine="480" w:firstLineChars="200"/>
        <w:rPr>
          <w:rFonts w:hint="eastAsia"/>
          <w:color w:val="000000"/>
          <w:sz w:val="24"/>
        </w:rPr>
      </w:pPr>
    </w:p>
    <w:p>
      <w:pPr>
        <w:spacing w:line="440" w:lineRule="exact"/>
        <w:ind w:firstLine="480" w:firstLineChars="200"/>
        <w:rPr>
          <w:rFonts w:hint="eastAsia" w:eastAsia="宋体"/>
          <w:color w:val="000000"/>
          <w:sz w:val="24"/>
          <w:lang w:eastAsia="zh-CN"/>
        </w:rPr>
      </w:pPr>
      <w:r>
        <w:rPr>
          <w:rFonts w:hint="eastAsia"/>
          <w:color w:val="000000"/>
          <w:sz w:val="24"/>
        </w:rPr>
        <w:t>4．完成毕业设计（毕业论文），并通过毕业答辩</w:t>
      </w:r>
      <w:r>
        <w:rPr>
          <w:rFonts w:hint="eastAsia"/>
          <w:color w:val="000000"/>
          <w:sz w:val="24"/>
          <w:lang w:eastAsia="zh-CN"/>
        </w:rPr>
        <w:t>。</w:t>
      </w:r>
    </w:p>
    <w:p>
      <w:pPr>
        <w:pStyle w:val="3"/>
        <w:spacing w:line="415" w:lineRule="auto"/>
        <w:ind w:firstLine="480" w:firstLineChars="200"/>
        <w:rPr>
          <w:rFonts w:eastAsia="黑体"/>
          <w:b w:val="0"/>
          <w:sz w:val="24"/>
        </w:rPr>
      </w:pPr>
      <w:bookmarkStart w:id="57" w:name="_Toc75253708"/>
      <w:bookmarkStart w:id="58" w:name="_Toc78431513"/>
      <w:bookmarkStart w:id="59" w:name="_Toc31828"/>
      <w:r>
        <w:rPr>
          <w:rFonts w:hint="eastAsia" w:eastAsia="黑体"/>
          <w:b w:val="0"/>
          <w:sz w:val="24"/>
        </w:rPr>
        <w:t>四</w:t>
      </w:r>
      <w:r>
        <w:rPr>
          <w:rFonts w:eastAsia="黑体"/>
          <w:b w:val="0"/>
          <w:sz w:val="24"/>
        </w:rPr>
        <w:t>、专业发展定位</w:t>
      </w:r>
      <w:bookmarkEnd w:id="57"/>
      <w:bookmarkEnd w:id="58"/>
      <w:bookmarkEnd w:id="59"/>
    </w:p>
    <w:p>
      <w:pPr>
        <w:pStyle w:val="44"/>
        <w:ind w:firstLine="480"/>
      </w:pPr>
      <w:bookmarkStart w:id="60" w:name="_Toc78431514"/>
      <w:bookmarkStart w:id="61" w:name="_Toc75253709"/>
      <w:bookmarkStart w:id="62" w:name="_Toc17570"/>
      <w:r>
        <w:rPr>
          <w:rFonts w:hint="eastAsia"/>
        </w:rPr>
        <w:t>（一）学制</w:t>
      </w:r>
      <w:bookmarkEnd w:id="60"/>
      <w:bookmarkEnd w:id="61"/>
      <w:bookmarkEnd w:id="62"/>
    </w:p>
    <w:p>
      <w:pPr>
        <w:rPr>
          <w:rFonts w:hint="eastAsia" w:asciiTheme="minorEastAsia" w:hAnsiTheme="minorEastAsia" w:eastAsiaTheme="minorEastAsia"/>
          <w:sz w:val="24"/>
        </w:rPr>
      </w:pPr>
      <w:r>
        <w:rPr>
          <w:rFonts w:hint="eastAsia" w:asciiTheme="minorEastAsia" w:hAnsiTheme="minorEastAsia" w:eastAsiaTheme="minorEastAsia"/>
          <w:sz w:val="24"/>
        </w:rPr>
        <w:t>3年</w:t>
      </w:r>
    </w:p>
    <w:p>
      <w:pPr>
        <w:pStyle w:val="44"/>
        <w:ind w:firstLine="480"/>
      </w:pPr>
      <w:bookmarkStart w:id="63" w:name="_Toc8459"/>
      <w:bookmarkStart w:id="64" w:name="_Toc75253710"/>
      <w:bookmarkStart w:id="65" w:name="_Toc78431515"/>
      <w:r>
        <w:rPr>
          <w:rFonts w:hint="eastAsia"/>
        </w:rPr>
        <w:t>（二）招生对象</w:t>
      </w:r>
      <w:bookmarkEnd w:id="63"/>
      <w:bookmarkEnd w:id="64"/>
      <w:bookmarkEnd w:id="65"/>
    </w:p>
    <w:p>
      <w:pPr>
        <w:rPr>
          <w:rFonts w:hint="eastAsia"/>
          <w:sz w:val="24"/>
        </w:rPr>
      </w:pPr>
      <w:r>
        <w:rPr>
          <w:rFonts w:hint="eastAsia"/>
          <w:sz w:val="24"/>
        </w:rPr>
        <w:t>高中毕业生</w:t>
      </w:r>
    </w:p>
    <w:p>
      <w:pPr>
        <w:pStyle w:val="44"/>
        <w:ind w:firstLine="480"/>
      </w:pPr>
      <w:bookmarkStart w:id="66" w:name="_Toc78431516"/>
      <w:bookmarkStart w:id="67" w:name="_Toc25348"/>
      <w:bookmarkStart w:id="68" w:name="_Toc75253711"/>
      <w:r>
        <w:rPr>
          <w:rFonts w:hint="eastAsia"/>
        </w:rPr>
        <w:t>（三）招生规模</w:t>
      </w:r>
      <w:bookmarkEnd w:id="66"/>
      <w:bookmarkEnd w:id="67"/>
      <w:bookmarkEnd w:id="68"/>
    </w:p>
    <w:p>
      <w:pPr>
        <w:rPr>
          <w:rFonts w:hint="eastAsia" w:asciiTheme="minorEastAsia" w:hAnsiTheme="minorEastAsia" w:eastAsiaTheme="minorEastAsia"/>
          <w:sz w:val="24"/>
        </w:rPr>
      </w:pPr>
      <w:r>
        <w:rPr>
          <w:rFonts w:asciiTheme="minorEastAsia" w:hAnsiTheme="minorEastAsia" w:eastAsiaTheme="minorEastAsia"/>
          <w:sz w:val="24"/>
        </w:rPr>
        <w:t>120</w:t>
      </w:r>
      <w:r>
        <w:rPr>
          <w:rFonts w:hint="eastAsia" w:asciiTheme="minorEastAsia" w:hAnsiTheme="minorEastAsia" w:eastAsiaTheme="minorEastAsia"/>
          <w:sz w:val="24"/>
        </w:rPr>
        <w:t>-</w:t>
      </w:r>
      <w:r>
        <w:rPr>
          <w:rFonts w:asciiTheme="minorEastAsia" w:hAnsiTheme="minorEastAsia" w:eastAsiaTheme="minorEastAsia"/>
          <w:sz w:val="24"/>
        </w:rPr>
        <w:t>150</w:t>
      </w:r>
      <w:r>
        <w:rPr>
          <w:rFonts w:hint="eastAsia" w:asciiTheme="minorEastAsia" w:hAnsiTheme="minorEastAsia" w:eastAsiaTheme="minorEastAsia"/>
          <w:sz w:val="24"/>
        </w:rPr>
        <w:t>人</w:t>
      </w:r>
    </w:p>
    <w:p>
      <w:pPr>
        <w:pStyle w:val="2"/>
        <w:jc w:val="center"/>
        <w:rPr>
          <w:rFonts w:ascii="黑体" w:eastAsia="黑体"/>
          <w:b w:val="0"/>
          <w:color w:val="000000"/>
          <w:sz w:val="32"/>
          <w:szCs w:val="28"/>
        </w:rPr>
      </w:pPr>
      <w:bookmarkStart w:id="69" w:name="_Toc78431517"/>
      <w:bookmarkStart w:id="70" w:name="_Toc29167"/>
      <w:bookmarkStart w:id="71" w:name="_Toc75253713"/>
      <w:r>
        <w:rPr>
          <w:rFonts w:hint="eastAsia" w:ascii="黑体" w:eastAsia="黑体"/>
          <w:b w:val="0"/>
          <w:color w:val="000000"/>
          <w:sz w:val="32"/>
          <w:szCs w:val="28"/>
        </w:rPr>
        <w:t>第二部分 教育教学系统设计</w:t>
      </w:r>
      <w:bookmarkEnd w:id="69"/>
      <w:bookmarkEnd w:id="70"/>
      <w:bookmarkEnd w:id="71"/>
    </w:p>
    <w:p>
      <w:pPr>
        <w:pStyle w:val="3"/>
        <w:spacing w:line="415" w:lineRule="auto"/>
        <w:ind w:firstLine="482" w:firstLineChars="200"/>
        <w:rPr>
          <w:rFonts w:hint="eastAsia" w:ascii="黑体" w:eastAsia="黑体"/>
          <w:color w:val="FF0000"/>
          <w:sz w:val="24"/>
        </w:rPr>
      </w:pPr>
      <w:bookmarkStart w:id="72" w:name="_Toc75253714"/>
      <w:bookmarkStart w:id="73" w:name="_Toc78431518"/>
      <w:bookmarkStart w:id="74" w:name="_Toc30560"/>
      <w:r>
        <w:rPr>
          <w:rFonts w:hint="eastAsia" w:ascii="黑体" w:eastAsia="黑体"/>
          <w:color w:val="FF0000"/>
          <w:sz w:val="24"/>
        </w:rPr>
        <w:t>一、基本素质课程教学系统设计</w:t>
      </w:r>
      <w:bookmarkEnd w:id="72"/>
      <w:bookmarkEnd w:id="73"/>
      <w:bookmarkEnd w:id="74"/>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color w:val="FF0000"/>
          <w:sz w:val="24"/>
          <w:lang w:val="en-US" w:eastAsia="zh-CN"/>
        </w:rPr>
        <w:t>基本素质课程为我院多年来精心培育的教学成果，素质课程的系统设计见附件8，素质课程系统设计方案。</w:t>
      </w:r>
    </w:p>
    <w:p>
      <w:pPr>
        <w:pStyle w:val="3"/>
        <w:spacing w:line="415" w:lineRule="auto"/>
        <w:ind w:firstLine="480" w:firstLineChars="200"/>
        <w:rPr>
          <w:rFonts w:ascii="黑体" w:eastAsia="黑体"/>
          <w:b w:val="0"/>
          <w:color w:val="FF0000"/>
          <w:sz w:val="24"/>
        </w:rPr>
      </w:pPr>
      <w:bookmarkStart w:id="75" w:name="_Toc14764"/>
      <w:bookmarkStart w:id="76" w:name="_Toc78431529"/>
      <w:bookmarkStart w:id="77" w:name="_Toc75253725"/>
      <w:r>
        <w:rPr>
          <w:rFonts w:hint="eastAsia" w:ascii="黑体" w:eastAsia="黑体"/>
          <w:b w:val="0"/>
          <w:sz w:val="24"/>
        </w:rPr>
        <w:t>二、理论课程教学体系系统设计</w:t>
      </w:r>
      <w:r>
        <w:rPr>
          <w:rFonts w:hint="eastAsia" w:ascii="楷体_GB2312" w:eastAsia="楷体_GB2312"/>
          <w:color w:val="000000"/>
          <w:sz w:val="24"/>
        </w:rPr>
        <w:t>（专业基础课和专业课）</w:t>
      </w:r>
      <w:bookmarkEnd w:id="75"/>
      <w:bookmarkEnd w:id="76"/>
      <w:bookmarkEnd w:id="77"/>
    </w:p>
    <w:p>
      <w:pPr>
        <w:keepNext/>
        <w:keepLines/>
        <w:spacing w:line="400" w:lineRule="exact"/>
        <w:ind w:firstLine="482" w:firstLineChars="200"/>
        <w:outlineLvl w:val="2"/>
        <w:rPr>
          <w:rFonts w:hint="eastAsia" w:ascii="楷体_GB2312" w:hAnsi="Times New Roman" w:eastAsia="楷体_GB2312" w:cs="Times New Roman"/>
          <w:b/>
          <w:bCs/>
          <w:color w:val="000000"/>
          <w:kern w:val="2"/>
          <w:sz w:val="24"/>
          <w:szCs w:val="32"/>
          <w:lang w:val="en-US" w:eastAsia="zh-CN" w:bidi="ar-SA"/>
        </w:rPr>
      </w:pPr>
      <w:bookmarkStart w:id="78" w:name="_Toc515880431"/>
      <w:bookmarkStart w:id="79" w:name="_Toc78431530"/>
      <w:bookmarkStart w:id="80" w:name="_Toc73202563"/>
      <w:r>
        <w:rPr>
          <w:rFonts w:hint="eastAsia" w:ascii="楷体_GB2312" w:hAnsi="Times New Roman" w:eastAsia="楷体_GB2312" w:cs="Times New Roman"/>
          <w:b/>
          <w:bCs/>
          <w:color w:val="000000"/>
          <w:kern w:val="2"/>
          <w:sz w:val="24"/>
          <w:szCs w:val="32"/>
          <w:lang w:val="en-US" w:eastAsia="zh-CN" w:bidi="ar-SA"/>
        </w:rPr>
        <w:t>（一）职业素质课程教学系统设计</w:t>
      </w:r>
      <w:bookmarkEnd w:id="78"/>
      <w:bookmarkEnd w:id="79"/>
      <w:bookmarkEnd w:id="80"/>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职业素质课程对应互联网金融管理专业所面向的学科领域和职业中交叉知识，主要以培养学生复合能力和可持续发展能力为出发点，为学生将来在职场中奠定基础知识和传授基本方法，并做好本专业专本课程衔接，既有一定理论深度，又强调职业发展，因此，依据互联网金融相关岗位职业晋升和本科金融科技应用专业开设的课程的实际情况，我们设置了以下课程：</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bookmarkStart w:id="81" w:name="_Toc515880432"/>
      <w:r>
        <w:rPr>
          <w:rFonts w:ascii="宋体" w:hAnsi="宋体"/>
          <w:sz w:val="24"/>
        </w:rPr>
        <w:t>1.</w:t>
      </w:r>
      <w:r>
        <w:rPr>
          <w:rFonts w:hint="eastAsia" w:ascii="宋体" w:hAnsi="宋体"/>
          <w:sz w:val="24"/>
        </w:rPr>
        <w:t>《公司理财》</w:t>
      </w:r>
      <w:r>
        <w:rPr>
          <w:rFonts w:hint="eastAsia" w:ascii="宋体" w:hAnsi="宋体"/>
          <w:color w:val="000000"/>
          <w:sz w:val="24"/>
        </w:rPr>
        <w:t>课程教学系统设计</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本课程是学生学习金融相关知识技能所需具备的储备知识。要求学生能够对个人财务情况、企业财务情况的资产构成有分析能力，对基本的财务知识有所了解。掌握资产、负责、利润和三大基本报表，能从资产负债构成比例，对企业征信、个人征信做初期判断。</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ascii="宋体" w:hAnsi="宋体"/>
          <w:color w:val="000000"/>
          <w:sz w:val="24"/>
        </w:rPr>
        <w:t>2.</w:t>
      </w:r>
      <w:r>
        <w:rPr>
          <w:rFonts w:hint="eastAsia" w:ascii="宋体" w:hAnsi="宋体"/>
          <w:color w:val="000000"/>
          <w:sz w:val="24"/>
        </w:rPr>
        <w:t>《经济学原理》课程教学系统设计</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本课程作为学生未来职业生涯提升的前期储备知识。金融产品的投资理财、金融产品的销售、金融企业的运营与管理都离不开对经济宏观趋势的把握。因此本课程实际上是金融经济学和微观企业管理知识的整合。主要讲述宏观经济学部分中的国民生产总值；微观经济学中的消费者效用最大化、消费者风险偏好等；管理的基本职能、企业文化、企业制度、团队建设和战略规划等。</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ascii="宋体" w:hAnsi="宋体"/>
          <w:color w:val="000000"/>
          <w:sz w:val="24"/>
        </w:rPr>
        <w:t>3.</w:t>
      </w:r>
      <w:r>
        <w:rPr>
          <w:rFonts w:hint="eastAsia" w:ascii="宋体" w:hAnsi="宋体"/>
          <w:color w:val="000000"/>
          <w:sz w:val="24"/>
        </w:rPr>
        <w:t>《经济数学基础》</w:t>
      </w:r>
      <w:bookmarkStart w:id="82" w:name="_Hlk73027332"/>
      <w:r>
        <w:rPr>
          <w:rFonts w:hint="eastAsia" w:ascii="宋体" w:hAnsi="宋体"/>
          <w:color w:val="000000"/>
          <w:sz w:val="24"/>
        </w:rPr>
        <w:t>课程教学系统设计</w:t>
      </w:r>
      <w:bookmarkEnd w:id="82"/>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本课程分为三个学期进行，依次包括：微积分、线性代数、概率论与数理统计。本课程是互联网金融乃至所有经济专业的第一道基础课程，为后续所有的课程</w:t>
      </w:r>
      <w:r>
        <w:rPr>
          <w:rFonts w:hint="eastAsia" w:ascii="宋体" w:hAnsi="宋体"/>
          <w:color w:val="000000"/>
          <w:sz w:val="24"/>
          <w:lang w:val="en-US" w:eastAsia="zh-CN"/>
        </w:rPr>
        <w:t>学习进行奠基的课程，是专业能力培养的必要保障</w:t>
      </w:r>
      <w:r>
        <w:rPr>
          <w:rFonts w:hint="eastAsia" w:ascii="宋体" w:hAnsi="宋体"/>
          <w:color w:val="000000"/>
          <w:sz w:val="24"/>
          <w:lang w:eastAsia="zh-CN"/>
        </w:rPr>
        <w:t>，</w:t>
      </w:r>
      <w:r>
        <w:rPr>
          <w:rFonts w:hint="eastAsia" w:ascii="宋体" w:hAnsi="宋体"/>
          <w:color w:val="000000"/>
          <w:sz w:val="24"/>
        </w:rPr>
        <w:t>不仅有助于学生专业课程的学习，而且为进一步深造所必需的重要数学知识提供基础。微积分、线性代数和概论与数理统计在现代科学技术当中具有重要的地位，是解决实际经济问题的一种有力的数学工具，同时也是提高基础能力绕不开的关键所在。</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4</w:t>
      </w:r>
      <w:r>
        <w:rPr>
          <w:rFonts w:ascii="宋体" w:hAnsi="宋体"/>
          <w:color w:val="000000"/>
          <w:sz w:val="24"/>
        </w:rPr>
        <w:t>.</w:t>
      </w:r>
      <w:bookmarkStart w:id="83" w:name="_Hlk73027428"/>
      <w:r>
        <w:rPr>
          <w:rFonts w:hint="eastAsia" w:ascii="宋体" w:hAnsi="宋体"/>
          <w:color w:val="000000"/>
          <w:sz w:val="24"/>
        </w:rPr>
        <w:t>《金融服务营销》课程教学系统设计</w:t>
      </w:r>
      <w:bookmarkEnd w:id="83"/>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通过金融服务营销课程各项目内容的学习与实践活动，要求学生了解并运用金融服务营销的基础知识，掌握金融服务营销各项任务所要求的基本职业能力，养成具有敬业精神、团队精神和求索精神，具有良好人际沟通能力和职业道德的品格，为上岗就业做好准备。</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5</w:t>
      </w:r>
      <w:r>
        <w:rPr>
          <w:rFonts w:ascii="宋体" w:hAnsi="宋体"/>
          <w:color w:val="000000"/>
          <w:sz w:val="24"/>
        </w:rPr>
        <w:t>.</w:t>
      </w:r>
      <w:bookmarkStart w:id="84" w:name="_Hlk73027606"/>
      <w:r>
        <w:rPr>
          <w:rFonts w:hint="eastAsia" w:ascii="宋体" w:hAnsi="宋体"/>
          <w:color w:val="000000"/>
          <w:sz w:val="24"/>
        </w:rPr>
        <w:t>《金融服务礼仪》课程教学系统设计</w:t>
      </w:r>
      <w:bookmarkEnd w:id="84"/>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通过金融服务礼仪课程的学习，帮助学生了解服务礼仪的重要性，掌握礼仪基础知识和基本要求，陶冶礼仪与道德情操，养成良好职业礼仪行为，提升个人职业素养。使其成为适应金融行业发展需求、具有合格岗位技能的金融行业从业人员。</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6</w:t>
      </w:r>
      <w:r>
        <w:rPr>
          <w:rFonts w:ascii="宋体" w:hAnsi="宋体"/>
          <w:color w:val="000000"/>
          <w:sz w:val="24"/>
        </w:rPr>
        <w:t>.</w:t>
      </w:r>
      <w:r>
        <w:rPr>
          <w:rFonts w:hint="eastAsia"/>
        </w:rPr>
        <w:t xml:space="preserve"> </w:t>
      </w:r>
      <w:r>
        <w:rPr>
          <w:rFonts w:hint="eastAsia" w:ascii="宋体" w:hAnsi="宋体"/>
          <w:color w:val="000000"/>
          <w:sz w:val="24"/>
        </w:rPr>
        <w:t>《客户关系管理》课程教学系统设计</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通过客户关系管理，要求学生掌握客户关系管理的策略，即如何建立客户关系，客户关系如何维护，客户关系如何挽救等。</w:t>
      </w:r>
    </w:p>
    <w:p>
      <w:pPr>
        <w:keepNext/>
        <w:keepLines/>
        <w:pageBreakBefore w:val="0"/>
        <w:widowControl w:val="0"/>
        <w:kinsoku/>
        <w:wordWrap/>
        <w:overflowPunct/>
        <w:topLinePunct w:val="0"/>
        <w:autoSpaceDE/>
        <w:autoSpaceDN/>
        <w:bidi w:val="0"/>
        <w:adjustRightInd/>
        <w:snapToGrid/>
        <w:spacing w:line="400" w:lineRule="exact"/>
        <w:ind w:firstLine="482" w:firstLineChars="200"/>
        <w:textAlignment w:val="auto"/>
        <w:outlineLvl w:val="2"/>
        <w:rPr>
          <w:rFonts w:hint="eastAsia"/>
          <w:color w:val="000000"/>
          <w:kern w:val="0"/>
          <w:sz w:val="24"/>
        </w:rPr>
      </w:pPr>
      <w:bookmarkStart w:id="85" w:name="_Toc78431531"/>
      <w:bookmarkStart w:id="86" w:name="_Toc73202564"/>
      <w:r>
        <w:rPr>
          <w:rFonts w:hint="eastAsia" w:ascii="楷体_GB2312" w:hAnsi="Times New Roman" w:eastAsia="楷体_GB2312" w:cs="Times New Roman"/>
          <w:b/>
          <w:bCs/>
          <w:color w:val="000000"/>
          <w:kern w:val="2"/>
          <w:sz w:val="24"/>
          <w:szCs w:val="32"/>
          <w:lang w:val="en-US" w:eastAsia="zh-CN" w:bidi="ar-SA"/>
        </w:rPr>
        <w:t>（二）职业技能课程教学系统设计</w:t>
      </w:r>
      <w:bookmarkEnd w:id="81"/>
      <w:bookmarkEnd w:id="85"/>
      <w:bookmarkEnd w:id="86"/>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1.《金融科技概论》：本课程主要学习“互联网+”背景下的银行及互联网金融行业的主要业务形态及核心行业知识概述：包括互联网金融体系概述、货币与银行、互联网金融支付、网络借贷、众筹、征信、风控、消费金融、金融产品设计与运营等核心知识。通过本课程的学习帮助学生全面、深入的了解互联网金融及银行业的现状和未来、了解互联网金融及银行专业方向的知识体系，明确学习和未来工作的目标和方向。</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ascii="宋体" w:hAnsi="宋体"/>
          <w:color w:val="000000"/>
          <w:sz w:val="24"/>
        </w:rPr>
        <w:t>2</w:t>
      </w:r>
      <w:r>
        <w:rPr>
          <w:rFonts w:hint="eastAsia" w:ascii="宋体" w:hAnsi="宋体"/>
          <w:color w:val="000000"/>
          <w:sz w:val="24"/>
        </w:rPr>
        <w:t>.《互联网金融营销》课程教学系统设计</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互联网金融营销》是金融科技应用专业一门重要的职业技能课。本课程主要介绍网络营销概述、网络营销环境与市场研究、网络营销战略与组织、网络营销伦理行为、网络营销整合传播、网络营销的常用工具。通过本课程的学习，使学生掌握网络营销基本理论知识，并能掌握从基层营销人员到运作管理、到商务拓展等完整创新创业流，</w:t>
      </w:r>
      <w:r>
        <w:rPr>
          <w:rFonts w:ascii="宋体" w:hAnsi="宋体"/>
          <w:color w:val="000000"/>
          <w:sz w:val="24"/>
        </w:rPr>
        <w:t>为学生从事</w:t>
      </w:r>
      <w:r>
        <w:rPr>
          <w:rFonts w:hint="eastAsia" w:ascii="宋体" w:hAnsi="宋体"/>
          <w:color w:val="000000"/>
          <w:sz w:val="24"/>
        </w:rPr>
        <w:t>物流</w:t>
      </w:r>
      <w:r>
        <w:rPr>
          <w:rFonts w:ascii="宋体" w:hAnsi="宋体"/>
          <w:color w:val="000000"/>
          <w:sz w:val="24"/>
        </w:rPr>
        <w:t>管理工作</w:t>
      </w:r>
      <w:r>
        <w:rPr>
          <w:rFonts w:hint="eastAsia" w:ascii="宋体" w:hAnsi="宋体"/>
          <w:color w:val="000000"/>
          <w:sz w:val="24"/>
        </w:rPr>
        <w:t>夯实基础。是金融科技应用专业一门核心职业技能课。本课程主要介绍互联网营销基础、互联网营销的技术基础、 互联网营销的社会基础、互联网营销的规制环境、互联网用户心理、互联网用户行为、互联网用户购买模式、互联网营销创新模式、互联网广告策略、互联网内容策略、互联网危机管理策略。</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ascii="宋体" w:hAnsi="宋体"/>
          <w:sz w:val="24"/>
        </w:rPr>
        <w:t>3.</w:t>
      </w:r>
      <w:r>
        <w:rPr>
          <w:rFonts w:hint="eastAsia" w:ascii="宋体" w:hAnsi="宋体"/>
          <w:sz w:val="24"/>
        </w:rPr>
        <w:t>《证券投资理论与实务》</w:t>
      </w:r>
      <w:bookmarkStart w:id="87" w:name="_Hlk8312521"/>
      <w:r>
        <w:rPr>
          <w:rFonts w:hint="eastAsia" w:ascii="宋体" w:hAnsi="宋体"/>
          <w:sz w:val="24"/>
        </w:rPr>
        <w:t>课程教学系统设计</w:t>
      </w:r>
      <w:bookmarkEnd w:id="87"/>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bookmarkStart w:id="88" w:name="_Toc523150258"/>
      <w:bookmarkStart w:id="89" w:name="_Toc515880434"/>
      <w:r>
        <w:rPr>
          <w:rFonts w:hint="eastAsia" w:ascii="宋体" w:hAnsi="宋体"/>
          <w:sz w:val="24"/>
        </w:rPr>
        <w:t>证券投资导论、包括股票、债券、投资基金的特点、分类与区别；证券市场的基本常识；证券交易的基本程序；股票价格及相关理论；证券投资的基本分析和技术分析。基本分析包括宏观分析、中观分析和微观分析等。</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ascii="宋体" w:hAnsi="宋体"/>
          <w:color w:val="000000"/>
          <w:sz w:val="24"/>
        </w:rPr>
        <w:t>4</w:t>
      </w:r>
      <w:r>
        <w:rPr>
          <w:rFonts w:hint="eastAsia" w:ascii="宋体" w:hAnsi="宋体"/>
          <w:color w:val="000000"/>
          <w:sz w:val="24"/>
        </w:rPr>
        <w:t>.《金融市场学》课程教学系统设计</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通过《金融市场学》课程的学习，使学生掌握金融市场工具（股票、债券、基金、衍生品）的概念、运行原理和交易的方式以及金融机构、个人投资者、监管机构以及行业协会等市场参与主体。紧密跟踪国内外金融市场的动态变化，同时强化学生对证券投资软件技术技能实践训练，以工作任务为主线，理论应用于实践，为学生毕业后从事证券投资业务做好理论与实践的准备。</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ascii="宋体" w:hAnsi="宋体"/>
          <w:color w:val="000000"/>
          <w:sz w:val="24"/>
        </w:rPr>
        <w:t>5</w:t>
      </w:r>
      <w:r>
        <w:rPr>
          <w:rFonts w:hint="eastAsia" w:ascii="宋体" w:hAnsi="宋体"/>
          <w:color w:val="000000"/>
          <w:sz w:val="24"/>
        </w:rPr>
        <w:t>．《征信技术与实务》</w:t>
      </w:r>
      <w:bookmarkStart w:id="90" w:name="_Hlk8312838"/>
      <w:r>
        <w:rPr>
          <w:rFonts w:hint="eastAsia" w:ascii="宋体" w:hAnsi="宋体"/>
          <w:color w:val="000000"/>
          <w:sz w:val="24"/>
        </w:rPr>
        <w:t>课程教学系统设计</w:t>
      </w:r>
      <w:bookmarkEnd w:id="90"/>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本课程是金融科技应用专业的一门职业技能课。主要功能是使学生初步了解征信知识，从中国当前征信发展的实际出发，结合高职高专学生的特点，使学生掌握互联网金融征信的主要对象、征信产品、征信机构等，为互联网金融营销岗位、投资与理财岗位和互联网金融运营岗位提供征信基本知识和技能，是金融科技应用专业的专业核心课程之一。</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采用“项目导向、任务驱动”的教学模式，共设计八个项目，具体包括征信概述、征信数据库、企业征信业务、个人征信业务、企业征信产品的应用场景、个人征信产品的应用场景、征信业的发展与监管和大数据征信。在学习的过程中，有意识的将知识点融合到课堂互动中，通过引导、启发式教学使学生能够积极、主动地思路问题，通过问思考问题解决方式，明确学习的知识重点和难点。同时，通过对经典案例的问题分析与解决，使学生会使用基本的征信技能。。</w:t>
      </w:r>
    </w:p>
    <w:p>
      <w:pPr>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sz w:val="24"/>
        </w:rPr>
      </w:pPr>
      <w:r>
        <w:rPr>
          <w:rFonts w:ascii="宋体" w:hAnsi="宋体"/>
          <w:sz w:val="24"/>
        </w:rPr>
        <w:t>6</w:t>
      </w:r>
      <w:r>
        <w:rPr>
          <w:rFonts w:hint="eastAsia" w:ascii="宋体" w:hAnsi="宋体"/>
          <w:sz w:val="24"/>
        </w:rPr>
        <w:t>.《金融法律法规与风险控制》：本课程从规范市场秩序，鼓励金融创新的角度，重点阐述我国互联网金融相关的政策法规监管体系。内容涵盖银行法规、保险法规、基金法规、融资租赁等与互联网金融主流业务相关的法律法规及各类法律主体和监管部门。同时，介绍国内外有代表性的事件案例。通过本课程的学习，帮助学生了解在现行互联网金融市场形态下的法律规范。授课主要以案例形式，帮助学生将法律意识带入实际业务情景，从而建立起必要的从业法律意识和风险识别能力。</w:t>
      </w:r>
    </w:p>
    <w:p>
      <w:pPr>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sz w:val="24"/>
        </w:rPr>
      </w:pPr>
      <w:r>
        <w:rPr>
          <w:rFonts w:hint="eastAsia" w:ascii="宋体" w:hAnsi="宋体"/>
          <w:sz w:val="24"/>
        </w:rPr>
        <w:t>详细介绍存在于互联网金融商业逻辑中的网络技术风险、法律政策风险、货币政策风险、信用层面风险和业务管理风险。通过学习，使学生了解目前市场上互联网金融风险分类及其特点，理解对应不同风险防范目标所采取的常见风险控制方法；掌握消除或减轻风险事件的发生的手段，并进一步地理解风险管理和风控合规在维护互联网金融行业可持续健康发展方面的实际意义。</w:t>
      </w:r>
    </w:p>
    <w:p>
      <w:pPr>
        <w:keepNext/>
        <w:keepLines/>
        <w:spacing w:line="400" w:lineRule="exact"/>
        <w:ind w:firstLine="482" w:firstLineChars="200"/>
        <w:outlineLvl w:val="2"/>
        <w:rPr>
          <w:rFonts w:hint="eastAsia"/>
          <w:color w:val="000000"/>
          <w:kern w:val="0"/>
          <w:sz w:val="24"/>
        </w:rPr>
      </w:pPr>
      <w:bookmarkStart w:id="91" w:name="_Toc73202565"/>
      <w:bookmarkStart w:id="92" w:name="_Toc78431532"/>
      <w:r>
        <w:rPr>
          <w:rFonts w:hint="eastAsia" w:ascii="楷体_GB2312" w:hAnsi="Times New Roman" w:eastAsia="楷体_GB2312" w:cs="Times New Roman"/>
          <w:b/>
          <w:bCs/>
          <w:color w:val="000000"/>
          <w:kern w:val="2"/>
          <w:sz w:val="24"/>
          <w:szCs w:val="32"/>
          <w:lang w:val="en-US" w:eastAsia="zh-CN" w:bidi="ar-SA"/>
        </w:rPr>
        <w:t>（三）</w:t>
      </w:r>
      <w:bookmarkEnd w:id="88"/>
      <w:bookmarkEnd w:id="89"/>
      <w:r>
        <w:rPr>
          <w:rFonts w:hint="eastAsia" w:ascii="楷体_GB2312" w:hAnsi="Times New Roman" w:eastAsia="楷体_GB2312" w:cs="Times New Roman"/>
          <w:b/>
          <w:bCs/>
          <w:color w:val="000000"/>
          <w:kern w:val="2"/>
          <w:sz w:val="24"/>
          <w:szCs w:val="32"/>
          <w:lang w:val="en-US" w:eastAsia="zh-CN" w:bidi="ar-SA"/>
        </w:rPr>
        <w:t>专项实训课程系统设计</w:t>
      </w:r>
      <w:bookmarkEnd w:id="91"/>
      <w:bookmarkEnd w:id="92"/>
    </w:p>
    <w:p>
      <w:pPr>
        <w:spacing w:line="400" w:lineRule="exact"/>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专项</w:t>
      </w:r>
      <w:r>
        <w:rPr>
          <w:rFonts w:ascii="宋体" w:hAnsi="宋体"/>
          <w:color w:val="000000"/>
          <w:sz w:val="24"/>
        </w:rPr>
        <w:t>实训</w:t>
      </w:r>
    </w:p>
    <w:p>
      <w:pPr>
        <w:widowControl/>
        <w:spacing w:line="400" w:lineRule="exact"/>
        <w:ind w:firstLine="480" w:firstLineChars="200"/>
        <w:rPr>
          <w:rFonts w:ascii="宋体" w:hAnsi="宋体"/>
          <w:color w:val="000000"/>
          <w:sz w:val="24"/>
        </w:rPr>
      </w:pPr>
      <w:r>
        <w:rPr>
          <w:rFonts w:hint="eastAsia" w:ascii="宋体" w:hAnsi="宋体"/>
          <w:color w:val="000000"/>
          <w:sz w:val="24"/>
        </w:rPr>
        <w:t>《股票模拟实训》</w:t>
      </w:r>
    </w:p>
    <w:p>
      <w:pPr>
        <w:spacing w:line="400" w:lineRule="exact"/>
        <w:ind w:firstLine="480" w:firstLineChars="200"/>
        <w:rPr>
          <w:rFonts w:hint="eastAsia" w:ascii="宋体" w:hAnsi="宋体"/>
          <w:color w:val="000000"/>
          <w:sz w:val="24"/>
        </w:rPr>
      </w:pPr>
      <w:r>
        <w:rPr>
          <w:rFonts w:hint="eastAsia" w:ascii="宋体" w:hAnsi="宋体"/>
          <w:color w:val="000000"/>
          <w:sz w:val="24"/>
        </w:rPr>
        <w:t>完全进行实盘操作，以同花顺、天天基金网，雪球A</w:t>
      </w:r>
      <w:r>
        <w:rPr>
          <w:rFonts w:ascii="宋体" w:hAnsi="宋体"/>
          <w:color w:val="000000"/>
          <w:sz w:val="24"/>
        </w:rPr>
        <w:t>PP</w:t>
      </w:r>
      <w:r>
        <w:rPr>
          <w:rFonts w:hint="eastAsia" w:ascii="宋体" w:hAnsi="宋体"/>
          <w:color w:val="000000"/>
          <w:sz w:val="24"/>
        </w:rPr>
        <w:t>等交易软件，在真实市场条件下，带领学生进行A股、港股和美股的股票选择，包括证券投资基础知识的运用，证券投资分析的程序和方法；证券投资的宏观分析、中观分析和企业分析，证券投资的K线理论和技术指标等。</w:t>
      </w:r>
    </w:p>
    <w:p>
      <w:pPr>
        <w:spacing w:line="400" w:lineRule="exact"/>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课内</w:t>
      </w:r>
      <w:r>
        <w:rPr>
          <w:rFonts w:ascii="宋体" w:hAnsi="宋体"/>
          <w:color w:val="000000"/>
          <w:sz w:val="24"/>
        </w:rPr>
        <w:t>实训</w:t>
      </w:r>
    </w:p>
    <w:p>
      <w:pPr>
        <w:spacing w:line="400" w:lineRule="exact"/>
        <w:ind w:firstLine="480" w:firstLineChars="200"/>
        <w:rPr>
          <w:rFonts w:ascii="宋体" w:hAnsi="宋体"/>
          <w:color w:val="000000"/>
          <w:sz w:val="24"/>
        </w:rPr>
      </w:pPr>
      <w:r>
        <w:rPr>
          <w:rFonts w:hint="eastAsia" w:ascii="宋体" w:hAnsi="宋体"/>
          <w:color w:val="000000"/>
          <w:sz w:val="24"/>
        </w:rPr>
        <w:t>《互联网金融产品营销》课程主要通过本模块的学习，使学生掌握互联网金融产品营销与推广的核心技能，理解并掌握互联网金融产品营销与推广的技术方法。 能够胜任：互联网金融渠道运营、互联网金融用户运营、互联网金融市场运营等运营岗位。</w:t>
      </w:r>
    </w:p>
    <w:p>
      <w:pPr>
        <w:spacing w:line="400" w:lineRule="exact"/>
        <w:ind w:firstLine="480" w:firstLineChars="200"/>
        <w:rPr>
          <w:rFonts w:hint="eastAsia" w:ascii="宋体" w:hAnsi="宋体"/>
          <w:color w:val="000000"/>
          <w:sz w:val="24"/>
        </w:rPr>
      </w:pPr>
      <w:r>
        <w:rPr>
          <w:rFonts w:ascii="宋体" w:hAnsi="宋体"/>
          <w:color w:val="000000"/>
          <w:sz w:val="24"/>
        </w:rPr>
        <w:t>3.</w:t>
      </w:r>
      <w:bookmarkStart w:id="93" w:name="OLE_LINK15"/>
      <w:r>
        <w:rPr>
          <w:rFonts w:ascii="宋体" w:hAnsi="宋体"/>
          <w:color w:val="000000"/>
          <w:sz w:val="24"/>
        </w:rPr>
        <w:t>综合实训</w:t>
      </w:r>
    </w:p>
    <w:bookmarkEnd w:id="93"/>
    <w:p>
      <w:pPr>
        <w:spacing w:line="400" w:lineRule="exact"/>
        <w:ind w:firstLine="480" w:firstLineChars="200"/>
        <w:rPr>
          <w:rFonts w:hint="eastAsia" w:ascii="宋体" w:hAnsi="宋体"/>
          <w:color w:val="000000"/>
          <w:sz w:val="24"/>
        </w:rPr>
      </w:pPr>
      <w:bookmarkStart w:id="94" w:name="_Hlk73042916"/>
      <w:r>
        <w:rPr>
          <w:rFonts w:hint="eastAsia" w:ascii="宋体" w:hAnsi="宋体"/>
          <w:color w:val="000000"/>
          <w:sz w:val="24"/>
        </w:rPr>
        <w:t>《基于Excel的金融综合应用》</w:t>
      </w:r>
      <w:bookmarkEnd w:id="94"/>
      <w:r>
        <w:rPr>
          <w:rFonts w:hint="eastAsia" w:ascii="宋体" w:hAnsi="宋体"/>
          <w:color w:val="000000"/>
          <w:sz w:val="24"/>
        </w:rPr>
        <w:t>本课程以潜在客户为目标，对客户进行征信分析，并进行投资组合的金融产品的运营策划方案。具体的，结合互联网金融的行业特点，来研究用户和需求分析，数据分析方法，结合企业实例，设计策划这个互联网金融产品的一整套运营方案。</w:t>
      </w:r>
    </w:p>
    <w:p>
      <w:pPr>
        <w:pStyle w:val="3"/>
        <w:spacing w:line="415" w:lineRule="auto"/>
        <w:ind w:firstLine="480" w:firstLineChars="200"/>
        <w:rPr>
          <w:rFonts w:ascii="黑体" w:eastAsia="黑体"/>
          <w:b w:val="0"/>
          <w:sz w:val="24"/>
        </w:rPr>
      </w:pPr>
      <w:bookmarkStart w:id="95" w:name="_Toc29780"/>
      <w:bookmarkStart w:id="96" w:name="_Toc78431533"/>
      <w:bookmarkStart w:id="97" w:name="_Toc75253726"/>
      <w:r>
        <w:rPr>
          <w:rFonts w:hint="eastAsia" w:ascii="黑体" w:eastAsia="黑体"/>
          <w:b w:val="0"/>
          <w:sz w:val="24"/>
        </w:rPr>
        <w:t>三、实践教学体系的系统设计</w:t>
      </w:r>
      <w:bookmarkEnd w:id="95"/>
      <w:bookmarkEnd w:id="96"/>
      <w:bookmarkEnd w:id="97"/>
    </w:p>
    <w:p>
      <w:pPr>
        <w:keepNext/>
        <w:keepLines/>
        <w:spacing w:line="400" w:lineRule="exact"/>
        <w:ind w:firstLine="482" w:firstLineChars="200"/>
        <w:outlineLvl w:val="2"/>
        <w:rPr>
          <w:rFonts w:hint="eastAsia" w:ascii="楷体_GB2312" w:hAnsi="Times New Roman" w:eastAsia="楷体_GB2312" w:cs="Times New Roman"/>
          <w:b/>
          <w:bCs/>
          <w:color w:val="000000"/>
          <w:kern w:val="2"/>
          <w:sz w:val="24"/>
          <w:szCs w:val="32"/>
          <w:lang w:val="en-US" w:eastAsia="zh-CN" w:bidi="ar-SA"/>
        </w:rPr>
      </w:pPr>
      <w:bookmarkStart w:id="98" w:name="_Toc73202567"/>
      <w:bookmarkStart w:id="99" w:name="_Toc78431534"/>
      <w:r>
        <w:rPr>
          <w:rFonts w:hint="eastAsia" w:ascii="楷体_GB2312" w:hAnsi="Times New Roman" w:eastAsia="楷体_GB2312" w:cs="Times New Roman"/>
          <w:b/>
          <w:bCs/>
          <w:color w:val="000000"/>
          <w:kern w:val="2"/>
          <w:sz w:val="24"/>
          <w:szCs w:val="32"/>
          <w:lang w:val="en-US" w:eastAsia="zh-CN" w:bidi="ar-SA"/>
        </w:rPr>
        <w:t>（一）核心技能衍生专业实训体系</w:t>
      </w:r>
      <w:bookmarkEnd w:id="98"/>
      <w:bookmarkEnd w:id="99"/>
    </w:p>
    <w:p>
      <w:pPr>
        <w:spacing w:line="400" w:lineRule="exact"/>
        <w:ind w:firstLine="470" w:firstLineChars="196"/>
        <w:rPr>
          <w:rFonts w:ascii="宋体" w:hAnsi="宋体"/>
          <w:color w:val="000000"/>
          <w:sz w:val="24"/>
        </w:rPr>
      </w:pPr>
      <w:r>
        <w:rPr>
          <w:rFonts w:hint="eastAsia" w:ascii="宋体" w:hAnsi="宋体"/>
          <w:color w:val="000000"/>
          <w:sz w:val="24"/>
        </w:rPr>
        <w:t>核心技能衍生专业实训体系</w:t>
      </w:r>
      <w:r>
        <w:rPr>
          <w:rFonts w:ascii="宋体" w:hAnsi="宋体"/>
          <w:color w:val="000000"/>
          <w:sz w:val="24"/>
        </w:rPr>
        <w:t>的开发</w:t>
      </w:r>
      <w:r>
        <w:rPr>
          <w:rFonts w:hint="eastAsia" w:ascii="宋体" w:hAnsi="宋体"/>
          <w:color w:val="000000"/>
          <w:sz w:val="24"/>
        </w:rPr>
        <w:t>需</w:t>
      </w:r>
      <w:r>
        <w:rPr>
          <w:rFonts w:ascii="宋体" w:hAnsi="宋体"/>
          <w:color w:val="000000"/>
          <w:sz w:val="24"/>
        </w:rPr>
        <w:t>结合</w:t>
      </w:r>
      <w:r>
        <w:rPr>
          <w:rFonts w:hint="eastAsia" w:ascii="宋体" w:hAnsi="宋体"/>
          <w:color w:val="000000"/>
          <w:sz w:val="24"/>
        </w:rPr>
        <w:t>互联网金融</w:t>
      </w:r>
      <w:r>
        <w:rPr>
          <w:rFonts w:ascii="宋体" w:hAnsi="宋体"/>
          <w:color w:val="000000"/>
          <w:sz w:val="24"/>
        </w:rPr>
        <w:t>人才培养定位，选择适合的</w:t>
      </w:r>
      <w:r>
        <w:rPr>
          <w:rFonts w:hint="eastAsia" w:ascii="宋体" w:hAnsi="宋体"/>
          <w:color w:val="000000"/>
          <w:sz w:val="24"/>
        </w:rPr>
        <w:t>互联网金融</w:t>
      </w:r>
      <w:r>
        <w:rPr>
          <w:rFonts w:ascii="宋体" w:hAnsi="宋体"/>
          <w:color w:val="000000"/>
          <w:sz w:val="24"/>
        </w:rPr>
        <w:t>企业</w:t>
      </w:r>
      <w:r>
        <w:rPr>
          <w:rFonts w:hint="eastAsia" w:ascii="宋体" w:hAnsi="宋体"/>
          <w:color w:val="000000"/>
          <w:sz w:val="24"/>
        </w:rPr>
        <w:t>和金融科技类企业</w:t>
      </w:r>
      <w:r>
        <w:rPr>
          <w:rFonts w:ascii="宋体" w:hAnsi="宋体"/>
          <w:color w:val="000000"/>
          <w:sz w:val="24"/>
        </w:rPr>
        <w:t>进行</w:t>
      </w:r>
      <w:r>
        <w:rPr>
          <w:rFonts w:hint="eastAsia" w:ascii="宋体" w:hAnsi="宋体"/>
          <w:color w:val="000000"/>
          <w:sz w:val="24"/>
        </w:rPr>
        <w:t>金融</w:t>
      </w:r>
      <w:r>
        <w:rPr>
          <w:rFonts w:ascii="宋体" w:hAnsi="宋体"/>
          <w:color w:val="000000"/>
          <w:sz w:val="24"/>
        </w:rPr>
        <w:t>人才需求和</w:t>
      </w:r>
      <w:r>
        <w:rPr>
          <w:rFonts w:hint="eastAsia" w:ascii="宋体" w:hAnsi="宋体"/>
          <w:color w:val="000000"/>
          <w:sz w:val="24"/>
        </w:rPr>
        <w:t>相关</w:t>
      </w:r>
      <w:r>
        <w:rPr>
          <w:rFonts w:ascii="宋体" w:hAnsi="宋体"/>
          <w:color w:val="000000"/>
          <w:sz w:val="24"/>
        </w:rPr>
        <w:t>岗位能力调研，分析</w:t>
      </w:r>
      <w:r>
        <w:rPr>
          <w:rFonts w:hint="eastAsia" w:ascii="宋体" w:hAnsi="宋体"/>
          <w:color w:val="000000"/>
          <w:sz w:val="24"/>
        </w:rPr>
        <w:t>互联网金融产品营销、运营与推广</w:t>
      </w:r>
      <w:r>
        <w:rPr>
          <w:rFonts w:ascii="宋体" w:hAnsi="宋体"/>
          <w:color w:val="000000"/>
          <w:sz w:val="24"/>
        </w:rPr>
        <w:t>岗位（群）所需要的知识和技能，围绕企业所要求的岗位职业能力</w:t>
      </w:r>
      <w:r>
        <w:rPr>
          <w:rFonts w:hint="eastAsia" w:ascii="宋体" w:hAnsi="宋体"/>
          <w:color w:val="000000"/>
          <w:sz w:val="24"/>
        </w:rPr>
        <w:t>，</w:t>
      </w:r>
      <w:r>
        <w:rPr>
          <w:rFonts w:ascii="宋体" w:hAnsi="宋体"/>
          <w:color w:val="000000"/>
          <w:sz w:val="24"/>
        </w:rPr>
        <w:t>结合</w:t>
      </w:r>
      <w:r>
        <w:rPr>
          <w:rFonts w:hint="eastAsia" w:ascii="宋体" w:hAnsi="宋体"/>
          <w:color w:val="000000"/>
          <w:sz w:val="24"/>
        </w:rPr>
        <w:t>校内外</w:t>
      </w:r>
      <w:r>
        <w:rPr>
          <w:rFonts w:ascii="宋体" w:hAnsi="宋体"/>
          <w:color w:val="000000"/>
          <w:sz w:val="24"/>
        </w:rPr>
        <w:t>实训基地现有的设施设备以及师资队伍，</w:t>
      </w:r>
      <w:r>
        <w:rPr>
          <w:rFonts w:hint="eastAsia" w:ascii="宋体" w:hAnsi="宋体"/>
          <w:color w:val="000000"/>
          <w:sz w:val="24"/>
        </w:rPr>
        <w:t>确定金融科技应用专业理实一体化</w:t>
      </w:r>
      <w:r>
        <w:rPr>
          <w:rFonts w:ascii="宋体" w:hAnsi="宋体"/>
          <w:color w:val="000000"/>
          <w:sz w:val="24"/>
        </w:rPr>
        <w:t>课程和</w:t>
      </w:r>
      <w:r>
        <w:rPr>
          <w:rFonts w:hint="eastAsia" w:ascii="宋体" w:hAnsi="宋体"/>
          <w:color w:val="000000"/>
          <w:sz w:val="24"/>
        </w:rPr>
        <w:t>实践</w:t>
      </w:r>
      <w:r>
        <w:rPr>
          <w:rFonts w:ascii="宋体" w:hAnsi="宋体"/>
          <w:color w:val="000000"/>
          <w:sz w:val="24"/>
        </w:rPr>
        <w:t>课程，形成与真实</w:t>
      </w:r>
      <w:r>
        <w:rPr>
          <w:rFonts w:hint="eastAsia" w:ascii="宋体" w:hAnsi="宋体"/>
          <w:color w:val="000000"/>
          <w:sz w:val="24"/>
        </w:rPr>
        <w:t>互联网金融</w:t>
      </w:r>
      <w:r>
        <w:rPr>
          <w:rFonts w:ascii="宋体" w:hAnsi="宋体"/>
          <w:color w:val="000000"/>
          <w:sz w:val="24"/>
        </w:rPr>
        <w:t>岗位对接的、层次合理的</w:t>
      </w:r>
      <w:r>
        <w:rPr>
          <w:rFonts w:hint="eastAsia" w:ascii="宋体" w:hAnsi="宋体"/>
          <w:color w:val="000000"/>
          <w:sz w:val="24"/>
        </w:rPr>
        <w:t>金融科技应用专业</w:t>
      </w:r>
      <w:r>
        <w:rPr>
          <w:rFonts w:ascii="宋体" w:hAnsi="宋体"/>
          <w:color w:val="000000"/>
          <w:sz w:val="24"/>
        </w:rPr>
        <w:t>实训体系，有效地培养学生的</w:t>
      </w:r>
      <w:r>
        <w:rPr>
          <w:rFonts w:hint="eastAsia" w:ascii="宋体" w:hAnsi="宋体"/>
          <w:color w:val="000000"/>
          <w:sz w:val="24"/>
        </w:rPr>
        <w:t>互联网金融</w:t>
      </w:r>
      <w:r>
        <w:rPr>
          <w:rFonts w:ascii="宋体" w:hAnsi="宋体"/>
          <w:color w:val="000000"/>
          <w:sz w:val="24"/>
        </w:rPr>
        <w:t>岗位技能和职业素养</w:t>
      </w:r>
      <w:r>
        <w:rPr>
          <w:rFonts w:hint="eastAsia" w:ascii="宋体" w:hAnsi="宋体"/>
          <w:color w:val="000000"/>
          <w:sz w:val="24"/>
        </w:rPr>
        <w:t>，</w:t>
      </w:r>
      <w:r>
        <w:rPr>
          <w:rFonts w:ascii="宋体" w:hAnsi="宋体"/>
          <w:color w:val="000000"/>
          <w:sz w:val="24"/>
        </w:rPr>
        <w:t>构建</w:t>
      </w:r>
      <w:r>
        <w:rPr>
          <w:rFonts w:hint="eastAsia" w:ascii="宋体" w:hAnsi="宋体"/>
          <w:color w:val="000000"/>
          <w:sz w:val="24"/>
        </w:rPr>
        <w:t>了</w:t>
      </w:r>
      <w:r>
        <w:rPr>
          <w:rFonts w:ascii="宋体" w:hAnsi="宋体"/>
          <w:color w:val="000000"/>
          <w:sz w:val="24"/>
        </w:rPr>
        <w:t>基于</w:t>
      </w:r>
      <w:r>
        <w:rPr>
          <w:rFonts w:hint="eastAsia" w:ascii="宋体" w:hAnsi="宋体"/>
          <w:color w:val="000000"/>
          <w:sz w:val="24"/>
        </w:rPr>
        <w:t>互联网金融</w:t>
      </w:r>
      <w:r>
        <w:rPr>
          <w:rFonts w:ascii="宋体" w:hAnsi="宋体"/>
          <w:color w:val="000000"/>
          <w:sz w:val="24"/>
        </w:rPr>
        <w:t>工作过程系统化的</w:t>
      </w:r>
      <w:r>
        <w:rPr>
          <w:rFonts w:hint="eastAsia" w:ascii="宋体" w:hAnsi="宋体"/>
          <w:color w:val="000000"/>
          <w:sz w:val="24"/>
        </w:rPr>
        <w:t>金融科技应用专业实践教学体系</w:t>
      </w:r>
      <w:r>
        <w:rPr>
          <w:rFonts w:ascii="宋体" w:hAnsi="宋体"/>
          <w:color w:val="000000"/>
          <w:sz w:val="24"/>
        </w:rPr>
        <w:t>。</w:t>
      </w:r>
    </w:p>
    <w:p>
      <w:pPr>
        <w:keepNext/>
        <w:keepLines/>
        <w:spacing w:line="400" w:lineRule="exact"/>
        <w:ind w:firstLine="482" w:firstLineChars="200"/>
        <w:outlineLvl w:val="2"/>
        <w:rPr>
          <w:rFonts w:hint="eastAsia" w:ascii="楷体_GB2312" w:hAnsi="Times New Roman" w:eastAsia="楷体_GB2312" w:cs="Times New Roman"/>
          <w:b/>
          <w:bCs/>
          <w:color w:val="000000"/>
          <w:kern w:val="2"/>
          <w:sz w:val="24"/>
          <w:szCs w:val="32"/>
          <w:lang w:val="en-US" w:eastAsia="zh-CN" w:bidi="ar-SA"/>
        </w:rPr>
      </w:pPr>
      <w:bookmarkStart w:id="100" w:name="_Toc78431535"/>
      <w:bookmarkStart w:id="101" w:name="_Toc73202568"/>
      <w:r>
        <w:rPr>
          <w:rFonts w:hint="eastAsia" w:ascii="楷体_GB2312" w:hAnsi="Times New Roman" w:eastAsia="楷体_GB2312" w:cs="Times New Roman"/>
          <w:b/>
          <w:bCs/>
          <w:color w:val="000000"/>
          <w:kern w:val="2"/>
          <w:sz w:val="24"/>
          <w:szCs w:val="32"/>
          <w:lang w:val="en-US" w:eastAsia="zh-CN" w:bidi="ar-SA"/>
        </w:rPr>
        <w:t>（二）课内实践教学内容设计</w:t>
      </w:r>
      <w:bookmarkEnd w:id="100"/>
      <w:bookmarkEnd w:id="101"/>
    </w:p>
    <w:p>
      <w:pPr>
        <w:spacing w:line="400" w:lineRule="exact"/>
        <w:ind w:firstLine="470" w:firstLineChars="196"/>
        <w:rPr>
          <w:rFonts w:ascii="宋体" w:hAnsi="宋体"/>
          <w:color w:val="000000"/>
          <w:sz w:val="24"/>
        </w:rPr>
      </w:pPr>
      <w:r>
        <w:rPr>
          <w:rFonts w:hint="eastAsia" w:ascii="宋体" w:hAnsi="宋体"/>
          <w:color w:val="000000"/>
          <w:sz w:val="24"/>
        </w:rPr>
        <w:t>互联网金融产品营销（课程内）专项实训。使学生能够针对不同的顾客类型制定不同的投资理财方案，能够针对客户的风险偏好选择不同的投资组合。使学生通过实训能够胜任：互联网金融理财专员、基金经理等。《互联网金融产品营销》课程主要通过本模块的学习，使学生掌握互联网金融产品营销与推广的核心技能，理解并掌握互联网金融产品营销与推广的技术方法。</w:t>
      </w:r>
    </w:p>
    <w:p>
      <w:pPr>
        <w:keepNext/>
        <w:keepLines/>
        <w:spacing w:line="400" w:lineRule="exact"/>
        <w:ind w:firstLine="482" w:firstLineChars="200"/>
        <w:outlineLvl w:val="2"/>
        <w:rPr>
          <w:rFonts w:hint="eastAsia" w:ascii="楷体_GB2312" w:hAnsi="Times New Roman" w:eastAsia="楷体_GB2312" w:cs="Times New Roman"/>
          <w:b/>
          <w:bCs/>
          <w:color w:val="000000"/>
          <w:kern w:val="2"/>
          <w:sz w:val="24"/>
          <w:szCs w:val="32"/>
          <w:lang w:val="en-US" w:eastAsia="zh-CN" w:bidi="ar-SA"/>
        </w:rPr>
      </w:pPr>
      <w:bookmarkStart w:id="102" w:name="_Toc78431536"/>
      <w:bookmarkStart w:id="103" w:name="_Toc73202569"/>
      <w:r>
        <w:rPr>
          <w:rFonts w:hint="eastAsia" w:ascii="楷体_GB2312" w:hAnsi="Times New Roman" w:eastAsia="楷体_GB2312" w:cs="Times New Roman"/>
          <w:b/>
          <w:bCs/>
          <w:color w:val="000000"/>
          <w:kern w:val="2"/>
          <w:sz w:val="24"/>
          <w:szCs w:val="32"/>
          <w:lang w:val="en-US" w:eastAsia="zh-CN" w:bidi="ar-SA"/>
        </w:rPr>
        <w:t>（三）单项技能强化和综合训练</w:t>
      </w:r>
      <w:bookmarkEnd w:id="102"/>
      <w:bookmarkEnd w:id="103"/>
    </w:p>
    <w:p>
      <w:pPr>
        <w:widowControl/>
        <w:spacing w:line="400" w:lineRule="exact"/>
        <w:ind w:firstLine="480" w:firstLineChars="200"/>
        <w:jc w:val="left"/>
        <w:rPr>
          <w:rFonts w:ascii="宋体" w:hAnsi="宋体" w:cs="宋体"/>
          <w:color w:val="000000"/>
          <w:sz w:val="24"/>
        </w:rPr>
      </w:pPr>
      <w:r>
        <w:rPr>
          <w:rFonts w:ascii="宋体" w:hAnsi="宋体"/>
          <w:color w:val="000000"/>
          <w:sz w:val="24"/>
        </w:rPr>
        <w:t>单项技能实训是针对</w:t>
      </w:r>
      <w:r>
        <w:rPr>
          <w:rFonts w:hint="eastAsia" w:ascii="宋体" w:hAnsi="宋体"/>
          <w:color w:val="000000"/>
          <w:sz w:val="24"/>
        </w:rPr>
        <w:t>金融企业</w:t>
      </w:r>
      <w:r>
        <w:rPr>
          <w:rFonts w:ascii="宋体" w:hAnsi="宋体"/>
          <w:color w:val="000000"/>
          <w:sz w:val="24"/>
        </w:rPr>
        <w:t>核心职业能力进行的专项训练，依据基础知识和岗位能力设计。在第</w:t>
      </w:r>
      <w:r>
        <w:rPr>
          <w:rFonts w:hint="eastAsia" w:ascii="宋体" w:hAnsi="宋体"/>
          <w:color w:val="000000"/>
          <w:sz w:val="24"/>
        </w:rPr>
        <w:t>二</w:t>
      </w:r>
      <w:r>
        <w:rPr>
          <w:rFonts w:ascii="宋体" w:hAnsi="宋体"/>
          <w:color w:val="000000"/>
          <w:sz w:val="24"/>
        </w:rPr>
        <w:t>学期《</w:t>
      </w:r>
      <w:r>
        <w:rPr>
          <w:rFonts w:hint="eastAsia" w:ascii="宋体" w:hAnsi="宋体"/>
          <w:color w:val="000000"/>
          <w:sz w:val="24"/>
        </w:rPr>
        <w:t>互联网金融营销</w:t>
      </w:r>
      <w:r>
        <w:rPr>
          <w:rFonts w:ascii="宋体" w:hAnsi="宋体"/>
          <w:color w:val="000000"/>
          <w:sz w:val="24"/>
        </w:rPr>
        <w:t>》课程结束后，开设《</w:t>
      </w:r>
      <w:r>
        <w:rPr>
          <w:rFonts w:hint="eastAsia" w:ascii="宋体" w:hAnsi="宋体"/>
          <w:color w:val="000000"/>
          <w:sz w:val="24"/>
        </w:rPr>
        <w:t>互联网金融产品营销</w:t>
      </w:r>
      <w:r>
        <w:rPr>
          <w:rFonts w:ascii="宋体" w:hAnsi="宋体"/>
          <w:color w:val="000000"/>
          <w:sz w:val="24"/>
        </w:rPr>
        <w:t>》，在第</w:t>
      </w:r>
      <w:r>
        <w:rPr>
          <w:rFonts w:hint="eastAsia" w:ascii="宋体" w:hAnsi="宋体"/>
          <w:color w:val="000000"/>
          <w:sz w:val="24"/>
        </w:rPr>
        <w:t>三</w:t>
      </w:r>
      <w:r>
        <w:rPr>
          <w:rFonts w:ascii="宋体" w:hAnsi="宋体"/>
          <w:color w:val="000000"/>
          <w:sz w:val="24"/>
        </w:rPr>
        <w:t>学期《</w:t>
      </w:r>
      <w:r>
        <w:rPr>
          <w:rFonts w:hint="eastAsia" w:ascii="宋体" w:hAnsi="宋体"/>
          <w:color w:val="000000"/>
          <w:sz w:val="24"/>
        </w:rPr>
        <w:t>金融市场学</w:t>
      </w:r>
      <w:r>
        <w:rPr>
          <w:rFonts w:ascii="宋体" w:hAnsi="宋体"/>
          <w:color w:val="000000"/>
          <w:sz w:val="24"/>
        </w:rPr>
        <w:t>》，</w:t>
      </w:r>
      <w:r>
        <w:rPr>
          <w:rFonts w:hint="eastAsia" w:ascii="宋体" w:hAnsi="宋体"/>
          <w:color w:val="000000"/>
          <w:sz w:val="24"/>
        </w:rPr>
        <w:t>第四学期开始《证券投资理论与实务》，</w:t>
      </w:r>
      <w:r>
        <w:rPr>
          <w:rFonts w:ascii="宋体" w:hAnsi="宋体"/>
          <w:color w:val="000000"/>
          <w:sz w:val="24"/>
        </w:rPr>
        <w:t>开设《</w:t>
      </w:r>
      <w:r>
        <w:rPr>
          <w:rFonts w:hint="eastAsia" w:ascii="宋体" w:hAnsi="宋体"/>
          <w:color w:val="000000"/>
          <w:sz w:val="24"/>
        </w:rPr>
        <w:t>股票模拟实训</w:t>
      </w:r>
      <w:r>
        <w:rPr>
          <w:rFonts w:ascii="宋体" w:hAnsi="宋体"/>
          <w:color w:val="000000"/>
          <w:sz w:val="24"/>
        </w:rPr>
        <w:t>》</w:t>
      </w:r>
      <w:bookmarkStart w:id="104" w:name="_Hlk73042925"/>
      <w:r>
        <w:rPr>
          <w:rFonts w:hint="eastAsia" w:ascii="宋体" w:hAnsi="宋体"/>
          <w:color w:val="000000"/>
          <w:sz w:val="24"/>
        </w:rPr>
        <w:t>（第三学期）</w:t>
      </w:r>
      <w:bookmarkEnd w:id="104"/>
      <w:r>
        <w:rPr>
          <w:rFonts w:hint="eastAsia" w:ascii="宋体" w:hAnsi="宋体"/>
          <w:color w:val="000000"/>
          <w:sz w:val="24"/>
        </w:rPr>
        <w:t>和《基于Excel的金融综合应用》（第四学期）</w:t>
      </w:r>
      <w:r>
        <w:rPr>
          <w:rFonts w:ascii="宋体" w:hAnsi="宋体"/>
          <w:color w:val="000000"/>
          <w:sz w:val="24"/>
        </w:rPr>
        <w:t>。通过单项技能实训与综合实</w:t>
      </w:r>
      <w:r>
        <w:rPr>
          <w:rFonts w:ascii="宋体" w:hAnsi="宋体" w:cs="宋体"/>
          <w:color w:val="000000"/>
          <w:sz w:val="24"/>
        </w:rPr>
        <w:t>训</w:t>
      </w:r>
      <w:r>
        <w:rPr>
          <w:rFonts w:hint="eastAsia" w:ascii="宋体" w:hAnsi="宋体" w:cs="宋体"/>
          <w:color w:val="000000"/>
          <w:sz w:val="24"/>
        </w:rPr>
        <w:t>的</w:t>
      </w:r>
      <w:r>
        <w:rPr>
          <w:rFonts w:ascii="宋体" w:hAnsi="宋体" w:cs="宋体"/>
          <w:color w:val="000000"/>
          <w:sz w:val="24"/>
        </w:rPr>
        <w:t>结合，形成由点到线，由线到面的，循环渐进式实践教学系统。</w:t>
      </w:r>
    </w:p>
    <w:p>
      <w:pPr>
        <w:pStyle w:val="34"/>
        <w:spacing w:line="440" w:lineRule="exact"/>
        <w:ind w:firstLine="470" w:firstLineChars="196"/>
        <w:rPr>
          <w:rFonts w:ascii="宋体"/>
          <w:color w:val="000000"/>
        </w:rPr>
      </w:pPr>
    </w:p>
    <w:p>
      <w:pPr>
        <w:pStyle w:val="34"/>
        <w:spacing w:line="440" w:lineRule="exact"/>
        <w:ind w:firstLine="470" w:firstLineChars="196"/>
      </w:pPr>
      <w:r>
        <w:rPr>
          <w:rFonts w:hint="eastAsia"/>
        </w:rPr>
        <w:t>附表3：</w:t>
      </w:r>
      <w:r>
        <w:t>实践教学计划表</w:t>
      </w:r>
    </w:p>
    <w:p>
      <w:pPr>
        <w:keepNext/>
        <w:keepLines/>
        <w:spacing w:line="400" w:lineRule="exact"/>
        <w:ind w:firstLine="480" w:firstLineChars="200"/>
        <w:outlineLvl w:val="2"/>
        <w:rPr>
          <w:rFonts w:hint="eastAsia" w:ascii="华文楷体" w:hAnsi="华文楷体" w:eastAsia="华文楷体" w:cs="华文楷体"/>
          <w:b/>
          <w:bCs/>
          <w:color w:val="000000"/>
          <w:kern w:val="0"/>
          <w:sz w:val="24"/>
        </w:rPr>
      </w:pPr>
      <w:bookmarkStart w:id="105" w:name="_Toc78431537"/>
      <w:bookmarkStart w:id="106" w:name="_Toc73202570"/>
      <w:r>
        <w:rPr>
          <w:rFonts w:hint="eastAsia" w:ascii="华文楷体" w:hAnsi="华文楷体" w:eastAsia="华文楷体" w:cs="华文楷体"/>
          <w:b/>
          <w:bCs/>
          <w:color w:val="000000"/>
          <w:kern w:val="0"/>
          <w:sz w:val="24"/>
        </w:rPr>
        <w:t>（四）实践教学的管理</w:t>
      </w:r>
      <w:bookmarkEnd w:id="105"/>
      <w:bookmarkEnd w:id="106"/>
    </w:p>
    <w:p>
      <w:pPr>
        <w:spacing w:line="400" w:lineRule="exact"/>
        <w:ind w:firstLine="480" w:firstLineChars="200"/>
        <w:rPr>
          <w:rFonts w:hint="eastAsia" w:ascii="宋体" w:hAnsi="宋体"/>
          <w:color w:val="000000"/>
          <w:sz w:val="24"/>
        </w:rPr>
      </w:pPr>
      <w:r>
        <w:rPr>
          <w:rFonts w:hint="eastAsia" w:ascii="宋体" w:hAnsi="宋体"/>
          <w:color w:val="000000"/>
          <w:sz w:val="24"/>
        </w:rPr>
        <w:t>通过专兼教师结合的方式，由互联网金融专任教师完成实践教学计划的制定，并采取结果导向的课程设计方法，给学生布置一定的任务，通过评定实训任务，认定学生考核成绩，并提出相应实训过程考核标准，针对教师指导和评价学生，进行动态管理。</w:t>
      </w:r>
    </w:p>
    <w:p>
      <w:pPr>
        <w:pStyle w:val="3"/>
        <w:spacing w:line="415" w:lineRule="auto"/>
        <w:ind w:firstLine="480" w:firstLineChars="200"/>
        <w:rPr>
          <w:rFonts w:ascii="黑体" w:hAnsi="黑体" w:eastAsia="黑体"/>
          <w:b w:val="0"/>
          <w:sz w:val="24"/>
        </w:rPr>
      </w:pPr>
      <w:bookmarkStart w:id="107" w:name="_Toc78431538"/>
      <w:bookmarkStart w:id="108" w:name="_Toc75253727"/>
      <w:bookmarkStart w:id="109" w:name="_Toc5063"/>
      <w:r>
        <w:rPr>
          <w:rFonts w:hint="eastAsia" w:ascii="黑体" w:hAnsi="黑体" w:eastAsia="黑体"/>
          <w:b w:val="0"/>
          <w:sz w:val="24"/>
        </w:rPr>
        <w:t>四、职业分析与职业能力要求</w:t>
      </w:r>
      <w:bookmarkEnd w:id="107"/>
      <w:bookmarkEnd w:id="108"/>
      <w:bookmarkEnd w:id="109"/>
    </w:p>
    <w:p>
      <w:pPr>
        <w:keepNext/>
        <w:keepLines/>
        <w:spacing w:line="400" w:lineRule="exact"/>
        <w:ind w:firstLine="480" w:firstLineChars="200"/>
        <w:outlineLvl w:val="2"/>
        <w:rPr>
          <w:rFonts w:hint="eastAsia" w:ascii="华文楷体" w:hAnsi="华文楷体" w:eastAsia="华文楷体" w:cs="华文楷体"/>
          <w:b/>
          <w:bCs/>
          <w:color w:val="000000"/>
          <w:kern w:val="0"/>
          <w:sz w:val="24"/>
        </w:rPr>
      </w:pPr>
      <w:bookmarkStart w:id="110" w:name="_Toc78431539"/>
      <w:bookmarkStart w:id="111" w:name="_Toc515880437"/>
      <w:bookmarkStart w:id="112" w:name="_Toc73202572"/>
      <w:r>
        <w:rPr>
          <w:rFonts w:hint="eastAsia" w:ascii="华文楷体" w:hAnsi="华文楷体" w:eastAsia="华文楷体" w:cs="华文楷体"/>
          <w:b/>
          <w:bCs/>
          <w:color w:val="000000"/>
          <w:kern w:val="0"/>
          <w:sz w:val="24"/>
        </w:rPr>
        <w:t>（一）职业分析</w:t>
      </w:r>
      <w:bookmarkEnd w:id="110"/>
      <w:bookmarkEnd w:id="111"/>
      <w:bookmarkEnd w:id="112"/>
    </w:p>
    <w:p>
      <w:pPr>
        <w:spacing w:line="400" w:lineRule="exact"/>
        <w:ind w:firstLine="480" w:firstLineChars="200"/>
        <w:rPr>
          <w:rFonts w:hint="eastAsia" w:ascii="宋体" w:hAnsi="宋体"/>
          <w:color w:val="000000"/>
          <w:sz w:val="24"/>
        </w:rPr>
      </w:pPr>
      <w:r>
        <w:rPr>
          <w:rFonts w:hint="eastAsia" w:ascii="宋体" w:hAnsi="宋体"/>
          <w:color w:val="000000"/>
          <w:sz w:val="24"/>
        </w:rPr>
        <w:t>本专业就业岗位（群）有如下几类：</w:t>
      </w:r>
    </w:p>
    <w:p>
      <w:pPr>
        <w:widowControl/>
        <w:spacing w:line="400" w:lineRule="exact"/>
        <w:ind w:firstLine="480" w:firstLineChars="200"/>
        <w:jc w:val="left"/>
        <w:rPr>
          <w:rFonts w:hint="eastAsia" w:ascii="宋体" w:hAnsi="宋体" w:eastAsia="宋体" w:cs="宋体"/>
          <w:color w:val="000000"/>
          <w:sz w:val="24"/>
          <w:lang w:eastAsia="zh-CN"/>
        </w:rPr>
      </w:pPr>
      <w:r>
        <w:rPr>
          <w:rFonts w:hint="eastAsia" w:ascii="宋体" w:hAnsi="宋体" w:cs="宋体"/>
          <w:color w:val="000000"/>
          <w:sz w:val="24"/>
        </w:rPr>
        <w:t>互联网金融营销与产品销售人员：互联网金融业务咨询顾问、市场专员、客服人员、互联网金融产品营销顾问、金融产品销售员、大数据征信专员</w:t>
      </w:r>
      <w:r>
        <w:rPr>
          <w:rFonts w:hint="eastAsia" w:ascii="宋体" w:hAnsi="宋体" w:cs="宋体"/>
          <w:color w:val="000000"/>
          <w:sz w:val="24"/>
          <w:lang w:eastAsia="zh-CN"/>
        </w:rPr>
        <w:t>。</w:t>
      </w:r>
    </w:p>
    <w:p>
      <w:pPr>
        <w:widowControl/>
        <w:spacing w:line="400" w:lineRule="exact"/>
        <w:ind w:firstLine="480" w:firstLineChars="200"/>
        <w:jc w:val="left"/>
        <w:rPr>
          <w:rFonts w:hint="eastAsia" w:ascii="宋体" w:hAnsi="宋体" w:eastAsia="宋体" w:cs="宋体"/>
          <w:color w:val="000000"/>
          <w:sz w:val="24"/>
          <w:lang w:eastAsia="zh-CN"/>
        </w:rPr>
      </w:pPr>
      <w:r>
        <w:rPr>
          <w:rFonts w:hint="eastAsia" w:ascii="宋体" w:hAnsi="宋体" w:cs="宋体"/>
          <w:color w:val="000000"/>
          <w:sz w:val="24"/>
        </w:rPr>
        <w:t>互联网金融产品投资与理财规划：投资理财专员、投资理财规划师；平台投资理财经理</w:t>
      </w:r>
      <w:r>
        <w:rPr>
          <w:rFonts w:hint="eastAsia" w:ascii="宋体" w:hAnsi="宋体" w:cs="宋体"/>
          <w:color w:val="000000"/>
          <w:sz w:val="24"/>
          <w:lang w:eastAsia="zh-CN"/>
        </w:rPr>
        <w:t>。</w:t>
      </w:r>
    </w:p>
    <w:p>
      <w:pPr>
        <w:widowControl/>
        <w:spacing w:line="400" w:lineRule="exact"/>
        <w:ind w:left="315" w:leftChars="150" w:firstLine="120" w:firstLineChars="50"/>
        <w:jc w:val="left"/>
        <w:rPr>
          <w:rFonts w:hint="eastAsia" w:ascii="宋体" w:hAnsi="宋体" w:eastAsia="宋体" w:cs="宋体"/>
          <w:color w:val="000000"/>
          <w:sz w:val="24"/>
          <w:lang w:eastAsia="zh-CN"/>
        </w:rPr>
      </w:pPr>
      <w:r>
        <w:rPr>
          <w:rFonts w:hint="eastAsia" w:ascii="宋体" w:hAnsi="宋体" w:cs="宋体"/>
          <w:color w:val="000000"/>
          <w:sz w:val="24"/>
        </w:rPr>
        <w:t>互联网金融营销推广人员：互联网金融运营管理总监、金融企业网络平台维护</w:t>
      </w:r>
      <w:r>
        <w:rPr>
          <w:rFonts w:hint="eastAsia" w:ascii="宋体" w:hAnsi="宋体" w:cs="宋体"/>
          <w:color w:val="000000"/>
          <w:sz w:val="24"/>
          <w:lang w:eastAsia="zh-CN"/>
        </w:rPr>
        <w:t>。</w:t>
      </w:r>
    </w:p>
    <w:p>
      <w:pPr>
        <w:keepNext/>
        <w:keepLines/>
        <w:spacing w:line="400" w:lineRule="exact"/>
        <w:ind w:firstLine="480" w:firstLineChars="200"/>
        <w:outlineLvl w:val="2"/>
        <w:rPr>
          <w:rFonts w:hint="eastAsia" w:ascii="华文楷体" w:hAnsi="华文楷体" w:eastAsia="华文楷体" w:cs="华文楷体"/>
          <w:b/>
          <w:bCs/>
          <w:color w:val="000000"/>
          <w:kern w:val="0"/>
          <w:sz w:val="24"/>
        </w:rPr>
      </w:pPr>
      <w:bookmarkStart w:id="113" w:name="_Toc73202573"/>
      <w:bookmarkStart w:id="114" w:name="_Toc78431540"/>
      <w:r>
        <w:rPr>
          <w:rFonts w:hint="eastAsia" w:ascii="华文楷体" w:hAnsi="华文楷体" w:eastAsia="华文楷体" w:cs="华文楷体"/>
          <w:b/>
          <w:bCs/>
          <w:color w:val="000000"/>
          <w:kern w:val="0"/>
          <w:sz w:val="24"/>
        </w:rPr>
        <w:t>（二）职业能力要求</w:t>
      </w:r>
      <w:bookmarkEnd w:id="113"/>
      <w:bookmarkEnd w:id="114"/>
    </w:p>
    <w:p>
      <w:pPr>
        <w:spacing w:line="360" w:lineRule="exact"/>
        <w:ind w:firstLine="470" w:firstLineChars="196"/>
        <w:rPr>
          <w:rFonts w:hint="eastAsia" w:ascii="宋体" w:hAnsi="宋体"/>
          <w:color w:val="000000"/>
          <w:sz w:val="24"/>
        </w:rPr>
      </w:pPr>
      <w:r>
        <w:rPr>
          <w:rFonts w:hint="eastAsia" w:ascii="宋体" w:hAnsi="宋体"/>
          <w:color w:val="000000"/>
          <w:sz w:val="24"/>
        </w:rPr>
        <w:t>本专业职业岗位群及职业能力要求如下表：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260"/>
        <w:gridCol w:w="1192"/>
        <w:gridCol w:w="2293"/>
        <w:gridCol w:w="1621"/>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92" w:type="dxa"/>
            <w:vAlign w:val="center"/>
          </w:tcPr>
          <w:p>
            <w:pPr>
              <w:jc w:val="center"/>
              <w:rPr>
                <w:rFonts w:hint="eastAsia" w:ascii="宋体" w:hAnsi="宋体" w:cs="宋体"/>
                <w:b/>
                <w:color w:val="000000"/>
                <w:szCs w:val="21"/>
              </w:rPr>
            </w:pPr>
            <w:r>
              <w:rPr>
                <w:rFonts w:hint="eastAsia" w:ascii="宋体" w:hAnsi="宋体" w:cs="宋体"/>
                <w:b/>
                <w:color w:val="000000"/>
                <w:szCs w:val="21"/>
              </w:rPr>
              <w:t>工作岗位</w:t>
            </w:r>
          </w:p>
        </w:tc>
        <w:tc>
          <w:tcPr>
            <w:tcW w:w="1260" w:type="dxa"/>
            <w:vAlign w:val="center"/>
          </w:tcPr>
          <w:p>
            <w:pPr>
              <w:jc w:val="center"/>
              <w:rPr>
                <w:rFonts w:hint="eastAsia" w:ascii="宋体" w:hAnsi="宋体" w:cs="宋体"/>
                <w:b/>
                <w:color w:val="000000"/>
                <w:szCs w:val="21"/>
              </w:rPr>
            </w:pPr>
            <w:r>
              <w:rPr>
                <w:rFonts w:hint="eastAsia" w:ascii="宋体" w:hAnsi="宋体" w:cs="宋体"/>
                <w:b/>
                <w:color w:val="000000"/>
                <w:szCs w:val="21"/>
              </w:rPr>
              <w:t>职业功能</w:t>
            </w:r>
          </w:p>
        </w:tc>
        <w:tc>
          <w:tcPr>
            <w:tcW w:w="1192" w:type="dxa"/>
            <w:vAlign w:val="center"/>
          </w:tcPr>
          <w:p>
            <w:pPr>
              <w:jc w:val="center"/>
              <w:rPr>
                <w:rFonts w:hint="eastAsia" w:ascii="宋体" w:hAnsi="宋体" w:cs="宋体"/>
                <w:b/>
                <w:color w:val="000000"/>
                <w:szCs w:val="21"/>
              </w:rPr>
            </w:pPr>
            <w:r>
              <w:rPr>
                <w:rFonts w:hint="eastAsia" w:ascii="宋体" w:hAnsi="宋体" w:cs="宋体"/>
                <w:b/>
                <w:color w:val="000000"/>
                <w:szCs w:val="21"/>
              </w:rPr>
              <w:t>工作任务</w:t>
            </w:r>
          </w:p>
        </w:tc>
        <w:tc>
          <w:tcPr>
            <w:tcW w:w="2293" w:type="dxa"/>
            <w:vAlign w:val="center"/>
          </w:tcPr>
          <w:p>
            <w:pPr>
              <w:jc w:val="center"/>
              <w:rPr>
                <w:rFonts w:hint="eastAsia" w:ascii="宋体" w:hAnsi="宋体" w:cs="宋体"/>
                <w:b/>
                <w:color w:val="000000"/>
                <w:szCs w:val="21"/>
              </w:rPr>
            </w:pPr>
            <w:r>
              <w:rPr>
                <w:rFonts w:hint="eastAsia" w:ascii="宋体" w:hAnsi="宋体" w:cs="宋体"/>
                <w:b/>
                <w:color w:val="000000"/>
                <w:szCs w:val="21"/>
              </w:rPr>
              <w:t>技能</w:t>
            </w:r>
          </w:p>
        </w:tc>
        <w:tc>
          <w:tcPr>
            <w:tcW w:w="1621" w:type="dxa"/>
            <w:vAlign w:val="center"/>
          </w:tcPr>
          <w:p>
            <w:pPr>
              <w:jc w:val="center"/>
              <w:rPr>
                <w:rFonts w:hint="eastAsia" w:ascii="宋体" w:hAnsi="宋体" w:cs="宋体"/>
                <w:b/>
                <w:color w:val="000000"/>
                <w:szCs w:val="21"/>
              </w:rPr>
            </w:pPr>
            <w:r>
              <w:rPr>
                <w:rFonts w:hint="eastAsia" w:ascii="宋体" w:hAnsi="宋体" w:cs="宋体"/>
                <w:b/>
                <w:color w:val="000000"/>
                <w:szCs w:val="21"/>
              </w:rPr>
              <w:t>知识</w:t>
            </w:r>
          </w:p>
        </w:tc>
        <w:tc>
          <w:tcPr>
            <w:tcW w:w="1398" w:type="dxa"/>
            <w:vAlign w:val="center"/>
          </w:tcPr>
          <w:p>
            <w:pPr>
              <w:jc w:val="center"/>
              <w:rPr>
                <w:rFonts w:hint="eastAsia" w:ascii="宋体" w:hAnsi="宋体" w:cs="宋体"/>
                <w:b/>
                <w:color w:val="000000"/>
                <w:szCs w:val="21"/>
              </w:rPr>
            </w:pPr>
            <w:r>
              <w:rPr>
                <w:rFonts w:hint="eastAsia" w:ascii="宋体" w:hAnsi="宋体" w:cs="宋体"/>
                <w:b/>
                <w:color w:val="000000"/>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2" w:type="dxa"/>
            <w:vMerge w:val="restart"/>
          </w:tcPr>
          <w:p>
            <w:pPr>
              <w:rPr>
                <w:rFonts w:ascii="宋体" w:hAnsi="宋体"/>
                <w:b/>
                <w:bCs/>
                <w:color w:val="000000"/>
                <w:szCs w:val="21"/>
              </w:rPr>
            </w:pPr>
            <w:r>
              <w:rPr>
                <w:rFonts w:hint="eastAsia" w:ascii="宋体" w:hAnsi="宋体"/>
                <w:b/>
                <w:bCs/>
                <w:color w:val="000000"/>
                <w:szCs w:val="21"/>
              </w:rPr>
              <w:t>互联网金融产品营销人员</w:t>
            </w:r>
          </w:p>
          <w:p>
            <w:pPr>
              <w:ind w:firstLine="315" w:firstLineChars="150"/>
              <w:rPr>
                <w:rFonts w:hint="eastAsia" w:ascii="宋体" w:hAnsi="宋体" w:cs="宋体"/>
                <w:color w:val="000000"/>
                <w:szCs w:val="21"/>
              </w:rPr>
            </w:pPr>
            <w:r>
              <w:rPr>
                <w:rFonts w:hint="eastAsia" w:ascii="宋体" w:hAnsi="宋体" w:cs="宋体"/>
                <w:color w:val="000000"/>
                <w:szCs w:val="21"/>
              </w:rPr>
              <w:t>A</w:t>
            </w:r>
          </w:p>
          <w:p>
            <w:pPr>
              <w:rPr>
                <w:rFonts w:hint="eastAsia" w:ascii="宋体" w:hAnsi="宋体" w:cs="宋体"/>
                <w:color w:val="000000"/>
                <w:szCs w:val="21"/>
              </w:rPr>
            </w:pPr>
          </w:p>
        </w:tc>
        <w:tc>
          <w:tcPr>
            <w:tcW w:w="1260" w:type="dxa"/>
          </w:tcPr>
          <w:p>
            <w:pPr>
              <w:ind w:left="315" w:hanging="315" w:hangingChars="150"/>
              <w:rPr>
                <w:rFonts w:hint="eastAsia" w:ascii="宋体" w:hAnsi="宋体" w:cs="宋体"/>
                <w:color w:val="000000"/>
                <w:szCs w:val="21"/>
              </w:rPr>
            </w:pPr>
            <w:r>
              <w:rPr>
                <w:rFonts w:hint="eastAsia" w:ascii="宋体" w:hAnsi="宋体" w:cs="宋体"/>
                <w:color w:val="000000"/>
                <w:szCs w:val="21"/>
              </w:rPr>
              <w:t>一、产品销售与市场推广</w:t>
            </w:r>
          </w:p>
          <w:p>
            <w:pPr>
              <w:ind w:left="315" w:hanging="315" w:hangingChars="150"/>
              <w:rPr>
                <w:rFonts w:hint="eastAsia" w:ascii="宋体" w:hAnsi="宋体" w:cs="宋体"/>
                <w:color w:val="000000"/>
                <w:szCs w:val="21"/>
              </w:rPr>
            </w:pPr>
            <w:r>
              <w:rPr>
                <w:rFonts w:hint="eastAsia" w:ascii="宋体" w:hAnsi="宋体" w:cs="宋体"/>
                <w:color w:val="000000"/>
                <w:szCs w:val="21"/>
              </w:rPr>
              <w:t>A1</w:t>
            </w:r>
          </w:p>
        </w:tc>
        <w:tc>
          <w:tcPr>
            <w:tcW w:w="1192" w:type="dxa"/>
          </w:tcPr>
          <w:p>
            <w:pPr>
              <w:rPr>
                <w:rFonts w:hint="eastAsia" w:ascii="宋体" w:hAnsi="宋体" w:cs="宋体"/>
                <w:color w:val="000000"/>
                <w:szCs w:val="21"/>
              </w:rPr>
            </w:pPr>
            <w:r>
              <w:rPr>
                <w:rFonts w:ascii="宋体" w:hAnsi="宋体" w:cs="宋体"/>
                <w:color w:val="000000"/>
                <w:kern w:val="0"/>
                <w:szCs w:val="21"/>
                <w:lang w:val="en"/>
              </w:rPr>
              <w:t>负责公司产品的销售及线上推广；完成部门销售指标</w:t>
            </w:r>
            <w:r>
              <w:rPr>
                <w:rFonts w:hint="eastAsia" w:ascii="宋体" w:hAnsi="宋体" w:cs="宋体"/>
                <w:color w:val="000000"/>
                <w:szCs w:val="21"/>
              </w:rPr>
              <w:t>，</w:t>
            </w:r>
          </w:p>
          <w:p>
            <w:pPr>
              <w:rPr>
                <w:rFonts w:ascii="宋体" w:hAnsi="宋体" w:cs="宋体"/>
                <w:color w:val="000000"/>
                <w:kern w:val="0"/>
                <w:szCs w:val="21"/>
                <w:lang w:val="en"/>
              </w:rPr>
            </w:pPr>
            <w:r>
              <w:rPr>
                <w:rFonts w:hint="eastAsia" w:ascii="宋体" w:hAnsi="宋体" w:cs="宋体"/>
                <w:color w:val="000000"/>
                <w:szCs w:val="21"/>
              </w:rPr>
              <w:t>A1-1</w:t>
            </w:r>
          </w:p>
        </w:tc>
        <w:tc>
          <w:tcPr>
            <w:tcW w:w="2293" w:type="dxa"/>
          </w:tcPr>
          <w:p>
            <w:pPr>
              <w:rPr>
                <w:rFonts w:ascii="宋体" w:hAnsi="宋体" w:cs="宋体"/>
                <w:color w:val="000000"/>
                <w:szCs w:val="21"/>
              </w:rPr>
            </w:pPr>
            <w:r>
              <w:rPr>
                <w:rFonts w:hint="eastAsia" w:ascii="宋体" w:hAnsi="宋体"/>
                <w:color w:val="000000"/>
                <w:szCs w:val="21"/>
              </w:rPr>
              <w:t>1.熟悉公司产品特点；</w:t>
            </w:r>
          </w:p>
          <w:p>
            <w:pPr>
              <w:rPr>
                <w:rFonts w:ascii="宋体" w:hAnsi="宋体" w:cs="宋体"/>
                <w:color w:val="000000"/>
                <w:szCs w:val="21"/>
              </w:rPr>
            </w:pPr>
            <w:r>
              <w:rPr>
                <w:rFonts w:hint="eastAsia" w:ascii="宋体" w:hAnsi="宋体"/>
                <w:color w:val="000000"/>
                <w:szCs w:val="21"/>
              </w:rPr>
              <w:t>2.熟悉销售技巧与消费者偏好；</w:t>
            </w:r>
          </w:p>
          <w:p>
            <w:pPr>
              <w:rPr>
                <w:rFonts w:hint="eastAsia" w:ascii="宋体" w:hAnsi="宋体"/>
                <w:color w:val="000000"/>
                <w:szCs w:val="21"/>
              </w:rPr>
            </w:pPr>
            <w:r>
              <w:rPr>
                <w:rFonts w:hint="eastAsia" w:ascii="宋体" w:hAnsi="宋体"/>
                <w:color w:val="000000"/>
                <w:szCs w:val="21"/>
              </w:rPr>
              <w:t>3.会使用新媒体做营销；</w:t>
            </w:r>
          </w:p>
        </w:tc>
        <w:tc>
          <w:tcPr>
            <w:tcW w:w="1621" w:type="dxa"/>
            <w:vMerge w:val="restart"/>
          </w:tcPr>
          <w:p>
            <w:pPr>
              <w:rPr>
                <w:rFonts w:hint="eastAsia" w:ascii="宋体" w:hAnsi="宋体" w:cs="宋体"/>
                <w:color w:val="000000"/>
                <w:szCs w:val="21"/>
              </w:rPr>
            </w:pPr>
            <w:r>
              <w:rPr>
                <w:rFonts w:hint="eastAsia" w:ascii="宋体" w:hAnsi="宋体" w:cs="宋体"/>
                <w:color w:val="000000"/>
                <w:szCs w:val="21"/>
              </w:rPr>
              <w:t>1.互联网金融产品销售知识</w:t>
            </w:r>
          </w:p>
          <w:p>
            <w:pPr>
              <w:ind w:left="315" w:hanging="315" w:hangingChars="150"/>
              <w:rPr>
                <w:rFonts w:hint="eastAsia" w:ascii="宋体" w:hAnsi="宋体" w:cs="宋体"/>
                <w:color w:val="000000"/>
                <w:szCs w:val="21"/>
              </w:rPr>
            </w:pPr>
            <w:r>
              <w:rPr>
                <w:rFonts w:hint="eastAsia" w:ascii="宋体" w:hAnsi="宋体" w:cs="宋体"/>
                <w:color w:val="000000"/>
                <w:szCs w:val="21"/>
              </w:rPr>
              <w:t>2.商务礼仪</w:t>
            </w:r>
          </w:p>
          <w:p>
            <w:pPr>
              <w:rPr>
                <w:rFonts w:hint="eastAsia" w:ascii="宋体" w:hAnsi="宋体" w:cs="宋体"/>
                <w:color w:val="000000"/>
                <w:szCs w:val="21"/>
              </w:rPr>
            </w:pPr>
            <w:r>
              <w:rPr>
                <w:rFonts w:hint="eastAsia" w:ascii="宋体" w:hAnsi="宋体" w:cs="宋体"/>
                <w:color w:val="000000"/>
                <w:szCs w:val="21"/>
              </w:rPr>
              <w:t>3.互联网金融营销知识</w:t>
            </w:r>
          </w:p>
          <w:p>
            <w:pPr>
              <w:rPr>
                <w:rFonts w:ascii="宋体" w:hAnsi="宋体" w:cs="宋体"/>
                <w:color w:val="000000"/>
                <w:szCs w:val="21"/>
              </w:rPr>
            </w:pPr>
            <w:r>
              <w:rPr>
                <w:rFonts w:hint="eastAsia" w:ascii="宋体" w:hAnsi="宋体" w:cs="宋体"/>
                <w:color w:val="000000"/>
                <w:szCs w:val="21"/>
              </w:rPr>
              <w:t>4.金融专业综合实践</w:t>
            </w:r>
          </w:p>
          <w:p>
            <w:pPr>
              <w:ind w:left="315" w:hanging="315" w:hangingChars="150"/>
              <w:rPr>
                <w:rFonts w:hint="eastAsia" w:ascii="宋体" w:hAnsi="宋体" w:cs="宋体"/>
                <w:color w:val="000000"/>
                <w:szCs w:val="21"/>
              </w:rPr>
            </w:pPr>
          </w:p>
        </w:tc>
        <w:tc>
          <w:tcPr>
            <w:tcW w:w="1398" w:type="dxa"/>
            <w:vMerge w:val="restart"/>
          </w:tcPr>
          <w:p>
            <w:pPr>
              <w:widowControl/>
              <w:rPr>
                <w:rFonts w:ascii="宋体" w:hAnsi="宋体" w:cs="宋体"/>
                <w:color w:val="000000"/>
                <w:kern w:val="0"/>
                <w:szCs w:val="21"/>
                <w:lang w:val="en"/>
              </w:rPr>
            </w:pPr>
            <w:r>
              <w:rPr>
                <w:rFonts w:hint="eastAsia" w:ascii="宋体" w:hAnsi="宋体" w:cs="宋体"/>
                <w:color w:val="000000"/>
                <w:kern w:val="0"/>
                <w:szCs w:val="21"/>
                <w:lang w:val="en"/>
              </w:rPr>
              <w:t>1.</w:t>
            </w:r>
            <w:r>
              <w:rPr>
                <w:rFonts w:ascii="宋体" w:hAnsi="宋体" w:cs="宋体"/>
                <w:color w:val="000000"/>
                <w:kern w:val="0"/>
                <w:szCs w:val="21"/>
                <w:lang w:val="en"/>
              </w:rPr>
              <w:t>反应敏捷，具有较强的沟通能力及交际技巧；</w:t>
            </w:r>
          </w:p>
          <w:p>
            <w:pPr>
              <w:widowControl/>
              <w:rPr>
                <w:rFonts w:ascii="宋体" w:hAnsi="宋体" w:cs="宋体"/>
                <w:color w:val="000000"/>
                <w:kern w:val="0"/>
                <w:szCs w:val="21"/>
                <w:lang w:val="en"/>
              </w:rPr>
            </w:pPr>
            <w:r>
              <w:rPr>
                <w:rFonts w:ascii="宋体" w:hAnsi="宋体" w:cs="宋体"/>
                <w:color w:val="000000"/>
                <w:kern w:val="0"/>
                <w:szCs w:val="21"/>
                <w:lang w:val="en"/>
              </w:rPr>
              <w:t>2</w:t>
            </w:r>
            <w:r>
              <w:rPr>
                <w:rFonts w:hint="eastAsia" w:ascii="宋体" w:hAnsi="宋体" w:cs="宋体"/>
                <w:color w:val="000000"/>
                <w:kern w:val="0"/>
                <w:szCs w:val="21"/>
                <w:lang w:val="en"/>
              </w:rPr>
              <w:t>．</w:t>
            </w:r>
            <w:r>
              <w:rPr>
                <w:rFonts w:ascii="宋体" w:hAnsi="宋体" w:cs="宋体"/>
                <w:color w:val="000000"/>
                <w:kern w:val="0"/>
                <w:szCs w:val="21"/>
                <w:lang w:val="en"/>
              </w:rPr>
              <w:t>具有良好的工作态度，做事认真；</w:t>
            </w:r>
          </w:p>
          <w:p>
            <w:pPr>
              <w:widowControl/>
              <w:rPr>
                <w:rFonts w:ascii="宋体" w:hAnsi="宋体" w:cs="宋体"/>
                <w:color w:val="000000"/>
                <w:kern w:val="0"/>
                <w:szCs w:val="21"/>
                <w:lang w:val="en"/>
              </w:rPr>
            </w:pPr>
            <w:r>
              <w:rPr>
                <w:rFonts w:ascii="宋体" w:hAnsi="宋体" w:cs="宋体"/>
                <w:color w:val="000000"/>
                <w:kern w:val="0"/>
                <w:szCs w:val="21"/>
                <w:lang w:val="en"/>
              </w:rPr>
              <w:t>3</w:t>
            </w:r>
            <w:r>
              <w:rPr>
                <w:rFonts w:hint="eastAsia" w:ascii="宋体" w:hAnsi="宋体" w:cs="宋体"/>
                <w:color w:val="000000"/>
                <w:kern w:val="0"/>
                <w:szCs w:val="21"/>
                <w:lang w:val="en"/>
              </w:rPr>
              <w:t>．</w:t>
            </w:r>
            <w:r>
              <w:rPr>
                <w:rFonts w:ascii="宋体" w:hAnsi="宋体" w:cs="宋体"/>
                <w:color w:val="000000"/>
                <w:kern w:val="0"/>
                <w:szCs w:val="21"/>
                <w:lang w:val="en"/>
              </w:rPr>
              <w:t>具备吃苦耐劳的精神和良好的团队识</w:t>
            </w:r>
            <w:r>
              <w:rPr>
                <w:rFonts w:hint="eastAsia" w:ascii="宋体" w:hAnsi="宋体" w:cs="宋体"/>
                <w:color w:val="000000"/>
                <w:kern w:val="0"/>
                <w:szCs w:val="21"/>
                <w:lang w:val="en"/>
              </w:rPr>
              <w:t>。</w:t>
            </w:r>
          </w:p>
          <w:p>
            <w:pPr>
              <w:widowControl/>
              <w:rPr>
                <w:rFonts w:hint="eastAsia" w:ascii="宋体" w:hAnsi="宋体" w:cs="宋体"/>
                <w:color w:val="000000"/>
                <w:kern w:val="0"/>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2" w:type="dxa"/>
            <w:vMerge w:val="continue"/>
          </w:tcPr>
          <w:p>
            <w:pPr>
              <w:rPr>
                <w:rFonts w:hint="eastAsia" w:ascii="宋体" w:hAnsi="宋体" w:cs="宋体"/>
                <w:color w:val="000000"/>
                <w:szCs w:val="21"/>
              </w:rPr>
            </w:pPr>
          </w:p>
        </w:tc>
        <w:tc>
          <w:tcPr>
            <w:tcW w:w="1260" w:type="dxa"/>
          </w:tcPr>
          <w:p>
            <w:pPr>
              <w:ind w:left="210" w:hanging="210" w:hangingChars="100"/>
              <w:rPr>
                <w:rFonts w:hint="eastAsia" w:ascii="宋体" w:hAnsi="宋体" w:cs="宋体"/>
                <w:color w:val="000000"/>
                <w:szCs w:val="21"/>
              </w:rPr>
            </w:pPr>
          </w:p>
          <w:p>
            <w:pPr>
              <w:ind w:left="210" w:hanging="210" w:hangingChars="100"/>
              <w:rPr>
                <w:rFonts w:hint="eastAsia" w:ascii="宋体" w:hAnsi="宋体"/>
                <w:color w:val="000000"/>
                <w:szCs w:val="21"/>
              </w:rPr>
            </w:pPr>
            <w:r>
              <w:rPr>
                <w:rFonts w:hint="eastAsia" w:ascii="宋体" w:hAnsi="宋体" w:cs="宋体"/>
                <w:color w:val="000000"/>
                <w:szCs w:val="21"/>
              </w:rPr>
              <w:t>二、</w:t>
            </w:r>
            <w:r>
              <w:rPr>
                <w:rFonts w:hint="eastAsia" w:ascii="宋体" w:hAnsi="宋体"/>
                <w:color w:val="000000"/>
                <w:szCs w:val="21"/>
              </w:rPr>
              <w:t>客户关系管理</w:t>
            </w:r>
          </w:p>
          <w:p>
            <w:pPr>
              <w:ind w:left="315" w:hanging="315" w:hangingChars="150"/>
              <w:rPr>
                <w:rFonts w:hint="eastAsia" w:ascii="宋体" w:hAnsi="宋体" w:cs="宋体"/>
                <w:color w:val="000000"/>
                <w:szCs w:val="21"/>
              </w:rPr>
            </w:pPr>
            <w:r>
              <w:rPr>
                <w:rFonts w:hint="eastAsia" w:ascii="宋体" w:hAnsi="宋体" w:cs="宋体"/>
                <w:color w:val="000000"/>
                <w:szCs w:val="21"/>
              </w:rPr>
              <w:t>A2</w:t>
            </w:r>
          </w:p>
        </w:tc>
        <w:tc>
          <w:tcPr>
            <w:tcW w:w="1192" w:type="dxa"/>
          </w:tcPr>
          <w:p>
            <w:pPr>
              <w:rPr>
                <w:rFonts w:ascii="宋体" w:hAnsi="宋体" w:cs="宋体"/>
                <w:color w:val="000000"/>
                <w:kern w:val="0"/>
                <w:szCs w:val="21"/>
                <w:lang w:val="en"/>
              </w:rPr>
            </w:pPr>
            <w:r>
              <w:rPr>
                <w:rFonts w:ascii="宋体" w:hAnsi="宋体" w:cs="宋体"/>
                <w:color w:val="000000"/>
                <w:kern w:val="0"/>
                <w:szCs w:val="21"/>
                <w:lang w:val="en"/>
              </w:rPr>
              <w:t>管理维护客户关系以及客户间的长期战略合作计划</w:t>
            </w:r>
            <w:r>
              <w:rPr>
                <w:rFonts w:hint="eastAsia" w:ascii="宋体" w:hAnsi="宋体" w:cs="宋体"/>
                <w:color w:val="000000"/>
                <w:szCs w:val="21"/>
              </w:rPr>
              <w:t>A2-1</w:t>
            </w:r>
          </w:p>
        </w:tc>
        <w:tc>
          <w:tcPr>
            <w:tcW w:w="2293" w:type="dxa"/>
          </w:tcPr>
          <w:p>
            <w:pPr>
              <w:rPr>
                <w:rFonts w:hint="eastAsia" w:ascii="宋体" w:hAnsi="宋体" w:cs="宋体"/>
                <w:color w:val="000000"/>
                <w:szCs w:val="21"/>
              </w:rPr>
            </w:pPr>
            <w:r>
              <w:rPr>
                <w:rFonts w:hint="eastAsia" w:ascii="宋体" w:hAnsi="宋体" w:cs="宋体"/>
                <w:color w:val="000000"/>
                <w:szCs w:val="21"/>
              </w:rPr>
              <w:t>1.维护客户关系的技能；</w:t>
            </w:r>
          </w:p>
          <w:p>
            <w:pPr>
              <w:rPr>
                <w:rFonts w:hint="eastAsia" w:ascii="宋体" w:hAnsi="宋体" w:cs="宋体"/>
                <w:color w:val="000000"/>
                <w:szCs w:val="21"/>
              </w:rPr>
            </w:pPr>
            <w:r>
              <w:rPr>
                <w:rFonts w:hint="eastAsia" w:ascii="宋体" w:hAnsi="宋体" w:cs="宋体"/>
                <w:color w:val="000000"/>
                <w:szCs w:val="21"/>
              </w:rPr>
              <w:t>2.熟悉公司产品特点与客户特点；</w:t>
            </w:r>
          </w:p>
          <w:p>
            <w:pPr>
              <w:rPr>
                <w:rFonts w:hint="eastAsia" w:ascii="宋体" w:hAnsi="宋体" w:cs="宋体"/>
                <w:color w:val="000000"/>
                <w:szCs w:val="21"/>
              </w:rPr>
            </w:pPr>
            <w:r>
              <w:rPr>
                <w:rFonts w:hint="eastAsia" w:ascii="宋体" w:hAnsi="宋体" w:cs="宋体"/>
                <w:color w:val="000000"/>
                <w:szCs w:val="21"/>
              </w:rPr>
              <w:t>3.能够进行经济趋势预测分析；</w:t>
            </w:r>
          </w:p>
        </w:tc>
        <w:tc>
          <w:tcPr>
            <w:tcW w:w="1621" w:type="dxa"/>
            <w:vMerge w:val="continue"/>
          </w:tcPr>
          <w:p>
            <w:pPr>
              <w:ind w:left="315" w:hanging="315" w:hangingChars="150"/>
              <w:rPr>
                <w:rFonts w:hint="eastAsia" w:ascii="宋体" w:hAnsi="宋体" w:cs="宋体"/>
                <w:color w:val="000000"/>
                <w:szCs w:val="21"/>
              </w:rPr>
            </w:pPr>
          </w:p>
        </w:tc>
        <w:tc>
          <w:tcPr>
            <w:tcW w:w="1398" w:type="dxa"/>
            <w:vMerge w:val="continue"/>
          </w:tcPr>
          <w:p>
            <w:pPr>
              <w:widowControl/>
              <w:rPr>
                <w:rFonts w:hint="eastAsia" w:ascii="宋体" w:hAnsi="宋体" w:cs="宋体"/>
                <w:color w:val="000000"/>
                <w:kern w:val="0"/>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2" w:type="dxa"/>
            <w:vMerge w:val="continue"/>
          </w:tcPr>
          <w:p>
            <w:pPr>
              <w:rPr>
                <w:rFonts w:hint="eastAsia" w:ascii="宋体" w:hAnsi="宋体" w:cs="宋体"/>
                <w:color w:val="000000"/>
                <w:szCs w:val="21"/>
              </w:rPr>
            </w:pPr>
          </w:p>
        </w:tc>
        <w:tc>
          <w:tcPr>
            <w:tcW w:w="1260" w:type="dxa"/>
          </w:tcPr>
          <w:p>
            <w:pPr>
              <w:ind w:left="315" w:hanging="315" w:hangingChars="150"/>
              <w:rPr>
                <w:rFonts w:hint="eastAsia" w:ascii="宋体" w:hAnsi="宋体" w:cs="宋体"/>
                <w:color w:val="000000"/>
                <w:szCs w:val="21"/>
              </w:rPr>
            </w:pPr>
            <w:r>
              <w:rPr>
                <w:rFonts w:hint="eastAsia" w:ascii="宋体" w:hAnsi="宋体" w:cs="宋体"/>
                <w:color w:val="000000"/>
                <w:szCs w:val="21"/>
              </w:rPr>
              <w:t>三、提高公司在业内和客户范围内的知名度A3</w:t>
            </w:r>
          </w:p>
        </w:tc>
        <w:tc>
          <w:tcPr>
            <w:tcW w:w="1192" w:type="dxa"/>
          </w:tcPr>
          <w:p>
            <w:pPr>
              <w:rPr>
                <w:rFonts w:ascii="宋体" w:hAnsi="宋体" w:cs="宋体"/>
                <w:color w:val="000000"/>
                <w:kern w:val="0"/>
                <w:szCs w:val="21"/>
                <w:lang w:val="en"/>
              </w:rPr>
            </w:pPr>
            <w:r>
              <w:rPr>
                <w:rFonts w:hint="eastAsia" w:ascii="宋体" w:hAnsi="宋体" w:cs="宋体"/>
                <w:color w:val="000000"/>
                <w:kern w:val="0"/>
                <w:szCs w:val="21"/>
                <w:lang w:val="en"/>
              </w:rPr>
              <w:t>宣传攻势产品，讲解优势所在，</w:t>
            </w:r>
            <w:r>
              <w:rPr>
                <w:rFonts w:hint="eastAsia" w:ascii="宋体" w:hAnsi="宋体" w:cs="宋体"/>
                <w:color w:val="000000"/>
                <w:szCs w:val="21"/>
              </w:rPr>
              <w:t>A3-1</w:t>
            </w:r>
          </w:p>
        </w:tc>
        <w:tc>
          <w:tcPr>
            <w:tcW w:w="2293" w:type="dxa"/>
          </w:tcPr>
          <w:p>
            <w:pPr>
              <w:rPr>
                <w:rFonts w:hint="eastAsia" w:ascii="宋体" w:hAnsi="宋体" w:cs="宋体"/>
                <w:color w:val="000000"/>
                <w:szCs w:val="21"/>
              </w:rPr>
            </w:pPr>
            <w:r>
              <w:rPr>
                <w:rFonts w:hint="eastAsia" w:ascii="宋体" w:hAnsi="宋体" w:cs="宋体"/>
                <w:color w:val="000000"/>
                <w:szCs w:val="21"/>
              </w:rPr>
              <w:t>1.能够对公司与竞争对手的产品做优劣势分析；</w:t>
            </w:r>
          </w:p>
          <w:p>
            <w:pPr>
              <w:rPr>
                <w:rFonts w:hint="eastAsia" w:ascii="宋体" w:hAnsi="宋体" w:cs="宋体"/>
                <w:color w:val="000000"/>
                <w:szCs w:val="21"/>
              </w:rPr>
            </w:pPr>
            <w:r>
              <w:rPr>
                <w:rFonts w:hint="eastAsia" w:ascii="宋体" w:hAnsi="宋体" w:cs="宋体"/>
                <w:color w:val="000000"/>
                <w:szCs w:val="21"/>
              </w:rPr>
              <w:t>2．根据不同客户的风险偏好介绍不同的产品类别；</w:t>
            </w:r>
          </w:p>
        </w:tc>
        <w:tc>
          <w:tcPr>
            <w:tcW w:w="1621" w:type="dxa"/>
            <w:vMerge w:val="continue"/>
          </w:tcPr>
          <w:p>
            <w:pPr>
              <w:ind w:left="315" w:hanging="315" w:hangingChars="150"/>
              <w:rPr>
                <w:rFonts w:hint="eastAsia" w:ascii="宋体" w:hAnsi="宋体" w:cs="宋体"/>
                <w:color w:val="000000"/>
                <w:szCs w:val="21"/>
              </w:rPr>
            </w:pPr>
          </w:p>
        </w:tc>
        <w:tc>
          <w:tcPr>
            <w:tcW w:w="1398" w:type="dxa"/>
            <w:vMerge w:val="continue"/>
          </w:tcPr>
          <w:p>
            <w:pPr>
              <w:widowControl/>
              <w:rPr>
                <w:rFonts w:hint="eastAsia" w:ascii="宋体" w:hAnsi="宋体" w:cs="宋体"/>
                <w:color w:val="000000"/>
                <w:kern w:val="0"/>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2" w:type="dxa"/>
            <w:vMerge w:val="restart"/>
          </w:tcPr>
          <w:p>
            <w:pPr>
              <w:rPr>
                <w:rFonts w:hint="eastAsia" w:ascii="宋体" w:hAnsi="宋体" w:cs="宋体"/>
                <w:b/>
                <w:color w:val="000000"/>
                <w:szCs w:val="21"/>
              </w:rPr>
            </w:pPr>
            <w:r>
              <w:rPr>
                <w:rFonts w:hint="eastAsia" w:ascii="宋体" w:hAnsi="宋体" w:cs="宋体"/>
                <w:color w:val="000000"/>
                <w:szCs w:val="21"/>
              </w:rPr>
              <w:t xml:space="preserve">   </w:t>
            </w:r>
            <w:r>
              <w:rPr>
                <w:rFonts w:hint="eastAsia" w:ascii="宋体" w:hAnsi="宋体" w:cs="宋体"/>
                <w:b/>
                <w:color w:val="000000"/>
                <w:szCs w:val="21"/>
              </w:rPr>
              <w:t>B</w:t>
            </w:r>
          </w:p>
          <w:p>
            <w:pPr>
              <w:rPr>
                <w:rFonts w:hint="eastAsia" w:ascii="宋体" w:hAnsi="宋体" w:cs="宋体"/>
                <w:b/>
                <w:color w:val="000000"/>
                <w:szCs w:val="21"/>
              </w:rPr>
            </w:pPr>
            <w:r>
              <w:rPr>
                <w:rFonts w:hint="eastAsia" w:ascii="宋体" w:hAnsi="宋体" w:cs="宋体"/>
                <w:b/>
                <w:color w:val="000000"/>
                <w:szCs w:val="21"/>
              </w:rPr>
              <w:t>投资</w:t>
            </w:r>
          </w:p>
          <w:p>
            <w:pPr>
              <w:rPr>
                <w:rFonts w:hint="eastAsia" w:ascii="宋体" w:hAnsi="宋体" w:cs="宋体"/>
                <w:b/>
                <w:color w:val="000000"/>
                <w:szCs w:val="21"/>
              </w:rPr>
            </w:pPr>
            <w:r>
              <w:rPr>
                <w:rFonts w:hint="eastAsia" w:ascii="宋体" w:hAnsi="宋体" w:cs="宋体"/>
                <w:b/>
                <w:color w:val="000000"/>
                <w:szCs w:val="21"/>
              </w:rPr>
              <w:t>理财</w:t>
            </w:r>
          </w:p>
          <w:p>
            <w:pPr>
              <w:rPr>
                <w:rFonts w:hint="eastAsia" w:ascii="宋体" w:hAnsi="宋体"/>
                <w:b/>
                <w:bCs/>
                <w:color w:val="000000"/>
                <w:szCs w:val="21"/>
              </w:rPr>
            </w:pPr>
            <w:r>
              <w:rPr>
                <w:rFonts w:hint="eastAsia" w:ascii="宋体" w:hAnsi="宋体" w:cs="宋体"/>
                <w:b/>
                <w:color w:val="000000"/>
                <w:szCs w:val="21"/>
              </w:rPr>
              <w:t>顾问</w:t>
            </w:r>
          </w:p>
        </w:tc>
        <w:tc>
          <w:tcPr>
            <w:tcW w:w="1260" w:type="dxa"/>
          </w:tcPr>
          <w:p>
            <w:pPr>
              <w:ind w:left="315" w:hanging="315" w:hangingChars="150"/>
              <w:rPr>
                <w:rFonts w:hint="eastAsia" w:ascii="宋体" w:hAnsi="宋体"/>
                <w:color w:val="000000"/>
                <w:szCs w:val="21"/>
              </w:rPr>
            </w:pPr>
            <w:r>
              <w:rPr>
                <w:rFonts w:hint="eastAsia" w:ascii="宋体" w:hAnsi="宋体"/>
                <w:color w:val="000000"/>
                <w:szCs w:val="21"/>
              </w:rPr>
              <w:t>一、金融产品分析与营销</w:t>
            </w:r>
          </w:p>
          <w:p>
            <w:pPr>
              <w:rPr>
                <w:rFonts w:hint="eastAsia" w:ascii="宋体" w:hAnsi="宋体" w:cs="宋体"/>
                <w:color w:val="000000"/>
                <w:szCs w:val="21"/>
              </w:rPr>
            </w:pPr>
            <w:r>
              <w:rPr>
                <w:rFonts w:hint="eastAsia" w:ascii="宋体" w:hAnsi="宋体" w:cs="宋体"/>
                <w:b/>
                <w:color w:val="000000"/>
                <w:szCs w:val="21"/>
              </w:rPr>
              <w:t>B</w:t>
            </w:r>
            <w:r>
              <w:rPr>
                <w:rFonts w:hint="eastAsia" w:ascii="宋体" w:hAnsi="宋体" w:cs="宋体"/>
                <w:color w:val="000000"/>
                <w:szCs w:val="21"/>
              </w:rPr>
              <w:t>1</w:t>
            </w:r>
          </w:p>
        </w:tc>
        <w:tc>
          <w:tcPr>
            <w:tcW w:w="1192" w:type="dxa"/>
          </w:tcPr>
          <w:p>
            <w:pPr>
              <w:ind w:left="105" w:hanging="105" w:hangingChars="50"/>
              <w:rPr>
                <w:rFonts w:hint="eastAsia" w:ascii="宋体" w:hAnsi="宋体"/>
                <w:color w:val="000000"/>
                <w:szCs w:val="21"/>
              </w:rPr>
            </w:pPr>
            <w:r>
              <w:rPr>
                <w:rFonts w:hint="eastAsia" w:ascii="宋体" w:hAnsi="宋体" w:cs="宋体"/>
                <w:color w:val="000000"/>
                <w:szCs w:val="21"/>
              </w:rPr>
              <w:t>（一）</w:t>
            </w:r>
            <w:r>
              <w:rPr>
                <w:rFonts w:hint="eastAsia" w:ascii="宋体" w:hAnsi="宋体"/>
                <w:color w:val="000000"/>
                <w:szCs w:val="21"/>
              </w:rPr>
              <w:t>金融产品分析与营销</w:t>
            </w:r>
          </w:p>
          <w:p>
            <w:pPr>
              <w:rPr>
                <w:rFonts w:ascii="宋体" w:hAnsi="宋体" w:cs="宋体"/>
                <w:b/>
                <w:color w:val="000000"/>
                <w:szCs w:val="21"/>
              </w:rPr>
            </w:pPr>
            <w:r>
              <w:rPr>
                <w:rFonts w:hint="eastAsia" w:ascii="宋体" w:hAnsi="宋体" w:cs="宋体"/>
                <w:b/>
                <w:color w:val="000000"/>
                <w:szCs w:val="21"/>
              </w:rPr>
              <w:t>B</w:t>
            </w:r>
            <w:r>
              <w:rPr>
                <w:rFonts w:hint="eastAsia" w:ascii="宋体" w:hAnsi="宋体" w:cs="宋体"/>
                <w:color w:val="000000"/>
                <w:szCs w:val="21"/>
              </w:rPr>
              <w:t>1-1</w:t>
            </w:r>
          </w:p>
          <w:p>
            <w:pPr>
              <w:ind w:left="105" w:leftChars="50"/>
              <w:rPr>
                <w:rFonts w:hint="eastAsia" w:ascii="宋体" w:hAnsi="宋体" w:cs="宋体"/>
                <w:color w:val="000000"/>
                <w:szCs w:val="21"/>
              </w:rPr>
            </w:pPr>
          </w:p>
        </w:tc>
        <w:tc>
          <w:tcPr>
            <w:tcW w:w="2293" w:type="dxa"/>
          </w:tcPr>
          <w:p>
            <w:pPr>
              <w:rPr>
                <w:rFonts w:hint="eastAsia" w:ascii="宋体" w:hAnsi="宋体" w:cs="宋体"/>
                <w:color w:val="000000"/>
                <w:szCs w:val="21"/>
              </w:rPr>
            </w:pPr>
            <w:r>
              <w:rPr>
                <w:rFonts w:hint="eastAsia" w:ascii="宋体" w:hAnsi="宋体" w:cs="宋体"/>
                <w:color w:val="000000"/>
                <w:szCs w:val="21"/>
              </w:rPr>
              <w:t>1.能够对客户进</w:t>
            </w:r>
          </w:p>
          <w:p>
            <w:pPr>
              <w:ind w:left="210" w:hanging="210" w:hangingChars="100"/>
              <w:rPr>
                <w:rFonts w:hint="eastAsia" w:ascii="宋体" w:hAnsi="宋体" w:cs="宋体"/>
                <w:color w:val="000000"/>
                <w:szCs w:val="21"/>
              </w:rPr>
            </w:pPr>
            <w:r>
              <w:rPr>
                <w:rFonts w:hint="eastAsia" w:ascii="宋体" w:hAnsi="宋体" w:cs="宋体"/>
                <w:color w:val="000000"/>
                <w:szCs w:val="21"/>
              </w:rPr>
              <w:t>行全面的理财分</w:t>
            </w:r>
          </w:p>
          <w:p>
            <w:pPr>
              <w:ind w:left="210" w:hanging="210" w:hangingChars="100"/>
              <w:rPr>
                <w:rFonts w:hint="eastAsia" w:ascii="宋体" w:hAnsi="宋体" w:cs="宋体"/>
                <w:color w:val="000000"/>
                <w:szCs w:val="21"/>
              </w:rPr>
            </w:pPr>
            <w:r>
              <w:rPr>
                <w:rFonts w:hint="eastAsia" w:ascii="宋体" w:hAnsi="宋体" w:cs="宋体"/>
                <w:color w:val="000000"/>
                <w:szCs w:val="21"/>
              </w:rPr>
              <w:t>析；</w:t>
            </w:r>
          </w:p>
          <w:p>
            <w:pPr>
              <w:ind w:left="210" w:hanging="210" w:hangingChars="100"/>
              <w:rPr>
                <w:rFonts w:hint="eastAsia" w:ascii="宋体" w:hAnsi="宋体" w:cs="宋体"/>
                <w:color w:val="000000"/>
                <w:szCs w:val="21"/>
              </w:rPr>
            </w:pPr>
            <w:r>
              <w:rPr>
                <w:rFonts w:hint="eastAsia" w:ascii="宋体" w:hAnsi="宋体" w:cs="宋体"/>
                <w:color w:val="000000"/>
                <w:szCs w:val="21"/>
              </w:rPr>
              <w:t>2.能够进行产品</w:t>
            </w:r>
          </w:p>
          <w:p>
            <w:pPr>
              <w:ind w:left="210" w:hanging="210" w:hangingChars="100"/>
              <w:rPr>
                <w:rFonts w:hint="eastAsia" w:ascii="宋体" w:hAnsi="宋体" w:cs="宋体"/>
                <w:color w:val="000000"/>
                <w:szCs w:val="21"/>
              </w:rPr>
            </w:pPr>
            <w:r>
              <w:rPr>
                <w:rFonts w:hint="eastAsia" w:ascii="宋体" w:hAnsi="宋体" w:cs="宋体"/>
                <w:color w:val="000000"/>
                <w:szCs w:val="21"/>
              </w:rPr>
              <w:t>对比分析，提出投</w:t>
            </w:r>
          </w:p>
          <w:p>
            <w:pPr>
              <w:ind w:left="210" w:hanging="210" w:hangingChars="100"/>
              <w:rPr>
                <w:rFonts w:hint="eastAsia" w:ascii="宋体" w:hAnsi="宋体" w:cs="宋体"/>
                <w:color w:val="000000"/>
                <w:szCs w:val="21"/>
              </w:rPr>
            </w:pPr>
            <w:r>
              <w:rPr>
                <w:rFonts w:hint="eastAsia" w:ascii="宋体" w:hAnsi="宋体" w:cs="宋体"/>
                <w:color w:val="000000"/>
                <w:szCs w:val="21"/>
              </w:rPr>
              <w:t>资建议；</w:t>
            </w:r>
          </w:p>
          <w:p>
            <w:pPr>
              <w:ind w:left="210" w:hanging="210" w:hangingChars="100"/>
              <w:rPr>
                <w:rFonts w:hint="eastAsia" w:ascii="宋体" w:hAnsi="宋体" w:cs="宋体"/>
                <w:color w:val="000000"/>
                <w:szCs w:val="21"/>
              </w:rPr>
            </w:pPr>
            <w:r>
              <w:rPr>
                <w:rFonts w:hint="eastAsia" w:ascii="宋体" w:hAnsi="宋体" w:cs="宋体"/>
                <w:color w:val="000000"/>
                <w:szCs w:val="21"/>
              </w:rPr>
              <w:t>3.了解金融市场现状，分析投资收益、准确预测投资风险。</w:t>
            </w:r>
          </w:p>
        </w:tc>
        <w:tc>
          <w:tcPr>
            <w:tcW w:w="1621" w:type="dxa"/>
          </w:tcPr>
          <w:p>
            <w:pPr>
              <w:rPr>
                <w:rFonts w:hint="eastAsia" w:ascii="宋体" w:hAnsi="宋体"/>
                <w:color w:val="000000"/>
                <w:szCs w:val="21"/>
              </w:rPr>
            </w:pPr>
            <w:r>
              <w:rPr>
                <w:rFonts w:hint="eastAsia" w:ascii="宋体" w:hAnsi="宋体"/>
                <w:color w:val="000000"/>
                <w:szCs w:val="21"/>
              </w:rPr>
              <w:t>1. 证券投资理论与实务</w:t>
            </w:r>
          </w:p>
          <w:p>
            <w:pPr>
              <w:ind w:left="210" w:hanging="210" w:hangingChars="100"/>
              <w:rPr>
                <w:rFonts w:hint="eastAsia" w:ascii="宋体" w:hAnsi="宋体"/>
                <w:color w:val="000000"/>
                <w:szCs w:val="21"/>
              </w:rPr>
            </w:pPr>
            <w:r>
              <w:rPr>
                <w:rFonts w:hint="eastAsia" w:ascii="宋体" w:hAnsi="宋体"/>
                <w:color w:val="000000"/>
                <w:szCs w:val="21"/>
              </w:rPr>
              <w:t>2.个人理财</w:t>
            </w:r>
          </w:p>
          <w:p>
            <w:pPr>
              <w:ind w:left="210" w:hanging="210" w:hangingChars="100"/>
              <w:rPr>
                <w:rFonts w:hint="eastAsia" w:ascii="宋体" w:hAnsi="宋体"/>
                <w:color w:val="000000"/>
                <w:szCs w:val="21"/>
              </w:rPr>
            </w:pPr>
            <w:r>
              <w:rPr>
                <w:rFonts w:hint="eastAsia" w:ascii="宋体" w:hAnsi="宋体"/>
                <w:color w:val="000000"/>
                <w:szCs w:val="21"/>
              </w:rPr>
              <w:t>3.风险管理</w:t>
            </w:r>
          </w:p>
          <w:p>
            <w:pPr>
              <w:ind w:left="210" w:hanging="210" w:hangingChars="100"/>
              <w:rPr>
                <w:rFonts w:ascii="宋体" w:hAnsi="宋体"/>
                <w:color w:val="000000"/>
                <w:szCs w:val="21"/>
              </w:rPr>
            </w:pPr>
            <w:r>
              <w:rPr>
                <w:rFonts w:hint="eastAsia" w:ascii="宋体" w:hAnsi="宋体"/>
                <w:color w:val="000000"/>
                <w:szCs w:val="21"/>
              </w:rPr>
              <w:t>4.推销实务与技巧</w:t>
            </w:r>
          </w:p>
          <w:p>
            <w:pPr>
              <w:ind w:left="210" w:hanging="210" w:hangingChars="100"/>
              <w:rPr>
                <w:rFonts w:ascii="宋体" w:hAnsi="宋体"/>
                <w:color w:val="000000"/>
                <w:szCs w:val="21"/>
              </w:rPr>
            </w:pPr>
          </w:p>
          <w:p>
            <w:pPr>
              <w:rPr>
                <w:rFonts w:hint="eastAsia" w:ascii="宋体" w:hAnsi="宋体" w:cs="宋体"/>
                <w:color w:val="000000"/>
                <w:szCs w:val="21"/>
              </w:rPr>
            </w:pPr>
          </w:p>
        </w:tc>
        <w:tc>
          <w:tcPr>
            <w:tcW w:w="1398" w:type="dxa"/>
          </w:tcPr>
          <w:p>
            <w:pPr>
              <w:rPr>
                <w:rFonts w:hint="eastAsia" w:ascii="宋体" w:hAnsi="宋体" w:cs="宋体"/>
                <w:color w:val="000000"/>
                <w:szCs w:val="21"/>
              </w:rPr>
            </w:pPr>
            <w:r>
              <w:rPr>
                <w:rFonts w:hint="eastAsia" w:ascii="宋体" w:hAnsi="宋体" w:cs="宋体"/>
                <w:color w:val="000000"/>
                <w:szCs w:val="21"/>
              </w:rPr>
              <w:t>1.强烈的事业心和高度的责任感，忠实于企业，有敬业精神。</w:t>
            </w:r>
          </w:p>
          <w:p>
            <w:pPr>
              <w:rPr>
                <w:rFonts w:hint="eastAsia" w:ascii="宋体" w:hAnsi="宋体" w:cs="宋体"/>
                <w:color w:val="000000"/>
                <w:szCs w:val="21"/>
              </w:rPr>
            </w:pPr>
            <w:r>
              <w:rPr>
                <w:rFonts w:hint="eastAsia" w:ascii="宋体" w:hAnsi="宋体" w:cs="宋体"/>
                <w:color w:val="000000"/>
                <w:szCs w:val="21"/>
              </w:rPr>
              <w:t>2.团队合作精神和客户服务意识，良好的沟通技巧。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2" w:type="dxa"/>
            <w:vMerge w:val="continue"/>
          </w:tcPr>
          <w:p>
            <w:pPr>
              <w:rPr>
                <w:rFonts w:hint="eastAsia" w:ascii="宋体" w:hAnsi="宋体" w:cs="宋体"/>
                <w:color w:val="000000"/>
                <w:szCs w:val="21"/>
              </w:rPr>
            </w:pPr>
          </w:p>
        </w:tc>
        <w:tc>
          <w:tcPr>
            <w:tcW w:w="1260" w:type="dxa"/>
          </w:tcPr>
          <w:p>
            <w:pPr>
              <w:rPr>
                <w:rFonts w:hint="eastAsia" w:ascii="宋体" w:hAnsi="宋体"/>
                <w:color w:val="000000"/>
                <w:szCs w:val="21"/>
              </w:rPr>
            </w:pPr>
            <w:r>
              <w:rPr>
                <w:rFonts w:hint="eastAsia" w:ascii="宋体" w:hAnsi="宋体"/>
                <w:color w:val="000000"/>
                <w:szCs w:val="21"/>
              </w:rPr>
              <w:t>二、营销</w:t>
            </w:r>
          </w:p>
          <w:p>
            <w:pPr>
              <w:ind w:left="315" w:leftChars="150"/>
              <w:rPr>
                <w:rFonts w:hint="eastAsia" w:ascii="宋体" w:hAnsi="宋体" w:cs="宋体"/>
                <w:color w:val="000000"/>
                <w:szCs w:val="21"/>
              </w:rPr>
            </w:pPr>
            <w:r>
              <w:rPr>
                <w:rFonts w:hint="eastAsia" w:ascii="宋体" w:hAnsi="宋体"/>
                <w:color w:val="000000"/>
                <w:szCs w:val="21"/>
              </w:rPr>
              <w:t>设计理财方案</w:t>
            </w:r>
            <w:r>
              <w:rPr>
                <w:rFonts w:hint="eastAsia" w:ascii="宋体" w:hAnsi="宋体" w:cs="宋体"/>
                <w:color w:val="000000"/>
                <w:szCs w:val="21"/>
              </w:rPr>
              <w:t>B2</w:t>
            </w:r>
          </w:p>
        </w:tc>
        <w:tc>
          <w:tcPr>
            <w:tcW w:w="1192" w:type="dxa"/>
          </w:tcPr>
          <w:p>
            <w:pPr>
              <w:ind w:left="105" w:hanging="105" w:hangingChars="50"/>
              <w:rPr>
                <w:rFonts w:ascii="宋体" w:hAnsi="宋体" w:cs="宋体"/>
                <w:color w:val="000000"/>
                <w:szCs w:val="21"/>
              </w:rPr>
            </w:pPr>
            <w:r>
              <w:rPr>
                <w:rFonts w:hint="eastAsia" w:ascii="宋体" w:hAnsi="宋体" w:cs="宋体"/>
                <w:color w:val="000000"/>
                <w:szCs w:val="21"/>
              </w:rPr>
              <w:t>（一）</w:t>
            </w:r>
            <w:r>
              <w:rPr>
                <w:rFonts w:hint="eastAsia" w:ascii="宋体" w:hAnsi="宋体"/>
                <w:color w:val="000000"/>
                <w:szCs w:val="21"/>
              </w:rPr>
              <w:t>设计理财方案</w:t>
            </w:r>
            <w:r>
              <w:rPr>
                <w:rFonts w:hint="eastAsia" w:ascii="宋体" w:hAnsi="宋体" w:cs="宋体"/>
                <w:color w:val="000000"/>
                <w:szCs w:val="21"/>
              </w:rPr>
              <w:t>B2-1</w:t>
            </w:r>
          </w:p>
          <w:p>
            <w:pPr>
              <w:ind w:left="105" w:hanging="105" w:hangingChars="50"/>
              <w:rPr>
                <w:rFonts w:hint="eastAsia" w:ascii="宋体" w:hAnsi="宋体" w:cs="宋体"/>
                <w:color w:val="000000"/>
                <w:szCs w:val="21"/>
              </w:rPr>
            </w:pPr>
          </w:p>
        </w:tc>
        <w:tc>
          <w:tcPr>
            <w:tcW w:w="2293" w:type="dxa"/>
          </w:tcPr>
          <w:p>
            <w:pPr>
              <w:ind w:left="210" w:hanging="210" w:hangingChars="100"/>
              <w:rPr>
                <w:rFonts w:hint="eastAsia" w:ascii="宋体" w:hAnsi="宋体" w:cs="宋体"/>
                <w:color w:val="000000"/>
                <w:szCs w:val="21"/>
              </w:rPr>
            </w:pPr>
            <w:r>
              <w:rPr>
                <w:rFonts w:hint="eastAsia" w:ascii="宋体" w:hAnsi="宋体" w:cs="宋体"/>
                <w:color w:val="000000"/>
                <w:szCs w:val="21"/>
              </w:rPr>
              <w:t>1.能够进行产品</w:t>
            </w:r>
          </w:p>
          <w:p>
            <w:pPr>
              <w:ind w:left="210" w:hanging="210" w:hangingChars="100"/>
              <w:rPr>
                <w:rFonts w:hint="eastAsia" w:ascii="宋体" w:hAnsi="宋体" w:cs="宋体"/>
                <w:color w:val="000000"/>
                <w:szCs w:val="21"/>
              </w:rPr>
            </w:pPr>
            <w:r>
              <w:rPr>
                <w:rFonts w:hint="eastAsia" w:ascii="宋体" w:hAnsi="宋体" w:cs="宋体"/>
                <w:color w:val="000000"/>
                <w:szCs w:val="21"/>
              </w:rPr>
              <w:t>对比分析，提出投</w:t>
            </w:r>
          </w:p>
          <w:p>
            <w:pPr>
              <w:ind w:left="210" w:hanging="210" w:hangingChars="100"/>
              <w:rPr>
                <w:rFonts w:hint="eastAsia" w:ascii="宋体" w:hAnsi="宋体" w:cs="宋体"/>
                <w:color w:val="000000"/>
                <w:szCs w:val="21"/>
              </w:rPr>
            </w:pPr>
            <w:r>
              <w:rPr>
                <w:rFonts w:hint="eastAsia" w:ascii="宋体" w:hAnsi="宋体" w:cs="宋体"/>
                <w:color w:val="000000"/>
                <w:szCs w:val="21"/>
              </w:rPr>
              <w:t>资建议；</w:t>
            </w:r>
          </w:p>
          <w:p>
            <w:pPr>
              <w:ind w:left="210" w:hanging="210" w:hangingChars="100"/>
              <w:rPr>
                <w:rFonts w:hint="eastAsia" w:ascii="宋体" w:hAnsi="宋体"/>
                <w:color w:val="000000"/>
                <w:szCs w:val="21"/>
              </w:rPr>
            </w:pPr>
            <w:r>
              <w:rPr>
                <w:rFonts w:hint="eastAsia" w:ascii="宋体" w:hAnsi="宋体" w:cs="宋体"/>
                <w:color w:val="000000"/>
                <w:szCs w:val="21"/>
              </w:rPr>
              <w:t>2.了解金融市场现状，分析投资收益、准确预测投资风险。</w:t>
            </w:r>
          </w:p>
        </w:tc>
        <w:tc>
          <w:tcPr>
            <w:tcW w:w="1621" w:type="dxa"/>
          </w:tcPr>
          <w:p>
            <w:pPr>
              <w:ind w:left="210" w:hanging="210" w:hangingChars="100"/>
              <w:rPr>
                <w:rFonts w:hint="eastAsia" w:ascii="宋体" w:hAnsi="宋体"/>
                <w:color w:val="000000"/>
                <w:szCs w:val="21"/>
              </w:rPr>
            </w:pPr>
            <w:r>
              <w:rPr>
                <w:rFonts w:hint="eastAsia" w:ascii="宋体" w:hAnsi="宋体"/>
                <w:color w:val="000000"/>
                <w:szCs w:val="21"/>
              </w:rPr>
              <w:t>1.</w:t>
            </w:r>
            <w:r>
              <w:rPr>
                <w:rFonts w:hint="eastAsia"/>
                <w:color w:val="000000"/>
                <w:szCs w:val="21"/>
              </w:rPr>
              <w:t xml:space="preserve"> </w:t>
            </w:r>
            <w:r>
              <w:rPr>
                <w:rFonts w:hint="eastAsia" w:ascii="宋体" w:hAnsi="宋体"/>
                <w:color w:val="000000"/>
                <w:szCs w:val="21"/>
              </w:rPr>
              <w:t>证券投资理论与实务</w:t>
            </w:r>
          </w:p>
          <w:p>
            <w:pPr>
              <w:ind w:left="210" w:hanging="210" w:hangingChars="100"/>
              <w:rPr>
                <w:rFonts w:hint="eastAsia" w:ascii="宋体" w:hAnsi="宋体"/>
                <w:color w:val="000000"/>
                <w:szCs w:val="21"/>
              </w:rPr>
            </w:pPr>
            <w:r>
              <w:rPr>
                <w:rFonts w:hint="eastAsia" w:ascii="宋体" w:hAnsi="宋体"/>
                <w:color w:val="000000"/>
                <w:szCs w:val="21"/>
              </w:rPr>
              <w:t>2.个人理财</w:t>
            </w:r>
          </w:p>
          <w:p>
            <w:pPr>
              <w:ind w:left="210" w:hanging="210" w:hangingChars="100"/>
              <w:rPr>
                <w:rFonts w:hint="eastAsia" w:ascii="宋体" w:hAnsi="宋体"/>
                <w:color w:val="000000"/>
                <w:szCs w:val="21"/>
              </w:rPr>
            </w:pPr>
            <w:r>
              <w:rPr>
                <w:rFonts w:hint="eastAsia" w:ascii="宋体" w:hAnsi="宋体"/>
                <w:color w:val="000000"/>
                <w:szCs w:val="21"/>
              </w:rPr>
              <w:t>3.风险管理</w:t>
            </w:r>
          </w:p>
          <w:p>
            <w:pPr>
              <w:ind w:left="210" w:hanging="210" w:hangingChars="100"/>
              <w:rPr>
                <w:rFonts w:ascii="宋体" w:hAnsi="宋体"/>
                <w:color w:val="000000"/>
                <w:szCs w:val="21"/>
              </w:rPr>
            </w:pPr>
            <w:r>
              <w:rPr>
                <w:rFonts w:hint="eastAsia" w:ascii="宋体" w:hAnsi="宋体"/>
                <w:color w:val="000000"/>
                <w:szCs w:val="21"/>
              </w:rPr>
              <w:t>4.推销实务与技巧</w:t>
            </w:r>
          </w:p>
          <w:p>
            <w:pPr>
              <w:rPr>
                <w:rFonts w:hint="eastAsia" w:ascii="宋体" w:hAnsi="宋体" w:cs="宋体"/>
                <w:color w:val="000000"/>
                <w:szCs w:val="21"/>
              </w:rPr>
            </w:pPr>
          </w:p>
        </w:tc>
        <w:tc>
          <w:tcPr>
            <w:tcW w:w="1398" w:type="dxa"/>
          </w:tcPr>
          <w:p>
            <w:pPr>
              <w:rPr>
                <w:rFonts w:hint="eastAsia" w:ascii="宋体" w:hAnsi="宋体" w:cs="宋体"/>
                <w:color w:val="000000"/>
                <w:szCs w:val="21"/>
              </w:rPr>
            </w:pPr>
            <w:r>
              <w:rPr>
                <w:rFonts w:hint="eastAsia" w:ascii="宋体" w:hAnsi="宋体" w:cs="宋体"/>
                <w:color w:val="000000"/>
                <w:szCs w:val="21"/>
              </w:rPr>
              <w:t>1.身体健康。</w:t>
            </w:r>
          </w:p>
          <w:p>
            <w:pPr>
              <w:rPr>
                <w:rFonts w:hint="eastAsia" w:ascii="宋体" w:hAnsi="宋体" w:cs="宋体"/>
                <w:color w:val="000000"/>
                <w:szCs w:val="21"/>
              </w:rPr>
            </w:pPr>
            <w:r>
              <w:rPr>
                <w:rFonts w:hint="eastAsia" w:ascii="宋体" w:hAnsi="宋体" w:cs="宋体"/>
                <w:color w:val="000000"/>
                <w:szCs w:val="21"/>
              </w:rPr>
              <w:t>2.热爱本职工作。</w:t>
            </w:r>
          </w:p>
          <w:p>
            <w:pPr>
              <w:rPr>
                <w:rFonts w:hint="eastAsia" w:ascii="宋体" w:hAnsi="宋体" w:cs="宋体"/>
                <w:color w:val="000000"/>
                <w:szCs w:val="21"/>
              </w:rPr>
            </w:pPr>
            <w:r>
              <w:rPr>
                <w:rFonts w:hint="eastAsia" w:ascii="宋体" w:hAnsi="宋体" w:cs="宋体"/>
                <w:color w:val="000000"/>
                <w:szCs w:val="21"/>
              </w:rPr>
              <w:t>3.具有良好的语言表达能力及沟通能力。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2" w:type="dxa"/>
            <w:vMerge w:val="restart"/>
          </w:tcPr>
          <w:p>
            <w:pPr>
              <w:rPr>
                <w:rFonts w:hint="eastAsia" w:ascii="宋体" w:hAnsi="宋体"/>
                <w:b/>
                <w:bCs/>
                <w:color w:val="000000"/>
                <w:szCs w:val="21"/>
              </w:rPr>
            </w:pPr>
            <w:r>
              <w:rPr>
                <w:rFonts w:hint="eastAsia" w:ascii="宋体" w:hAnsi="宋体" w:cs="宋体"/>
                <w:b/>
                <w:color w:val="000000"/>
                <w:szCs w:val="21"/>
              </w:rPr>
              <w:t>C</w:t>
            </w:r>
          </w:p>
          <w:p>
            <w:pPr>
              <w:rPr>
                <w:rFonts w:hint="eastAsia" w:ascii="宋体" w:hAnsi="宋体"/>
                <w:b/>
                <w:bCs/>
                <w:color w:val="000000"/>
                <w:szCs w:val="21"/>
              </w:rPr>
            </w:pPr>
            <w:r>
              <w:rPr>
                <w:rFonts w:hint="eastAsia" w:ascii="宋体" w:hAnsi="宋体"/>
                <w:b/>
                <w:bCs/>
                <w:color w:val="000000"/>
                <w:szCs w:val="21"/>
              </w:rPr>
              <w:t>互联网金</w:t>
            </w:r>
          </w:p>
          <w:p>
            <w:pPr>
              <w:rPr>
                <w:rFonts w:hint="eastAsia" w:ascii="宋体" w:hAnsi="宋体"/>
                <w:b/>
                <w:bCs/>
                <w:color w:val="000000"/>
                <w:szCs w:val="21"/>
              </w:rPr>
            </w:pPr>
            <w:r>
              <w:rPr>
                <w:rFonts w:hint="eastAsia" w:ascii="宋体" w:hAnsi="宋体"/>
                <w:b/>
                <w:bCs/>
                <w:color w:val="000000"/>
                <w:szCs w:val="21"/>
              </w:rPr>
              <w:t>融运营与管理总监</w:t>
            </w:r>
          </w:p>
          <w:p>
            <w:pPr>
              <w:ind w:firstLine="420" w:firstLineChars="200"/>
              <w:rPr>
                <w:rFonts w:hint="eastAsia" w:ascii="宋体" w:hAnsi="宋体" w:cs="宋体"/>
                <w:color w:val="000000"/>
                <w:szCs w:val="21"/>
              </w:rPr>
            </w:pPr>
          </w:p>
        </w:tc>
        <w:tc>
          <w:tcPr>
            <w:tcW w:w="1260" w:type="dxa"/>
          </w:tcPr>
          <w:p>
            <w:pPr>
              <w:rPr>
                <w:rFonts w:hint="eastAsia" w:ascii="宋体" w:hAnsi="宋体"/>
                <w:color w:val="000000"/>
                <w:szCs w:val="21"/>
              </w:rPr>
            </w:pPr>
            <w:r>
              <w:rPr>
                <w:rFonts w:hint="eastAsia" w:ascii="宋体" w:hAnsi="宋体" w:cs="宋体"/>
                <w:color w:val="000000"/>
                <w:szCs w:val="21"/>
              </w:rPr>
              <w:t>一、</w:t>
            </w:r>
            <w:r>
              <w:rPr>
                <w:rFonts w:hint="eastAsia" w:ascii="宋体" w:hAnsi="宋体"/>
                <w:color w:val="000000"/>
                <w:szCs w:val="21"/>
              </w:rPr>
              <w:t>市场调查分析、拓展市场资源</w:t>
            </w:r>
          </w:p>
          <w:p>
            <w:pPr>
              <w:rPr>
                <w:rFonts w:ascii="宋体" w:hAnsi="宋体"/>
                <w:color w:val="000000"/>
                <w:szCs w:val="21"/>
              </w:rPr>
            </w:pPr>
            <w:r>
              <w:rPr>
                <w:rFonts w:hint="eastAsia" w:ascii="宋体" w:hAnsi="宋体" w:cs="宋体"/>
                <w:color w:val="000000"/>
                <w:szCs w:val="21"/>
              </w:rPr>
              <w:t>C1</w:t>
            </w:r>
          </w:p>
          <w:p>
            <w:pPr>
              <w:rPr>
                <w:rFonts w:hint="eastAsia" w:ascii="宋体" w:hAnsi="宋体" w:cs="宋体"/>
                <w:color w:val="000000"/>
                <w:szCs w:val="21"/>
              </w:rPr>
            </w:pPr>
          </w:p>
        </w:tc>
        <w:tc>
          <w:tcPr>
            <w:tcW w:w="1192" w:type="dxa"/>
          </w:tcPr>
          <w:p>
            <w:pPr>
              <w:rPr>
                <w:rFonts w:hint="eastAsia" w:ascii="宋体" w:hAnsi="宋体"/>
                <w:color w:val="000000"/>
                <w:szCs w:val="21"/>
              </w:rPr>
            </w:pPr>
            <w:r>
              <w:rPr>
                <w:rFonts w:hint="eastAsia" w:ascii="宋体" w:hAnsi="宋体" w:cs="宋体"/>
                <w:color w:val="000000"/>
                <w:szCs w:val="21"/>
              </w:rPr>
              <w:t>（一）</w:t>
            </w:r>
            <w:r>
              <w:rPr>
                <w:rFonts w:hint="eastAsia" w:ascii="宋体" w:hAnsi="宋体"/>
                <w:color w:val="000000"/>
                <w:szCs w:val="21"/>
              </w:rPr>
              <w:t>市场调查分析、拓展市场资源</w:t>
            </w:r>
          </w:p>
          <w:p>
            <w:pPr>
              <w:rPr>
                <w:rFonts w:hint="eastAsia" w:ascii="宋体" w:hAnsi="宋体" w:cs="宋体"/>
                <w:color w:val="000000"/>
                <w:szCs w:val="21"/>
              </w:rPr>
            </w:pPr>
            <w:r>
              <w:rPr>
                <w:rFonts w:hint="eastAsia" w:ascii="宋体" w:hAnsi="宋体" w:cs="宋体"/>
                <w:color w:val="000000"/>
                <w:szCs w:val="21"/>
              </w:rPr>
              <w:t>C1-1</w:t>
            </w:r>
          </w:p>
        </w:tc>
        <w:tc>
          <w:tcPr>
            <w:tcW w:w="2293" w:type="dxa"/>
          </w:tcPr>
          <w:p>
            <w:pPr>
              <w:ind w:left="210" w:hanging="210" w:hangingChars="100"/>
              <w:rPr>
                <w:rFonts w:hint="eastAsia" w:ascii="宋体" w:hAnsi="宋体" w:cs="宋体"/>
                <w:color w:val="000000"/>
                <w:szCs w:val="21"/>
              </w:rPr>
            </w:pPr>
            <w:r>
              <w:rPr>
                <w:rFonts w:hint="eastAsia" w:ascii="宋体" w:hAnsi="宋体" w:cs="宋体"/>
                <w:color w:val="000000"/>
                <w:szCs w:val="21"/>
              </w:rPr>
              <w:t>1.能够开展市场调查分析，收集有效市场信息；</w:t>
            </w:r>
          </w:p>
          <w:p>
            <w:pPr>
              <w:ind w:left="210" w:hanging="210" w:hangingChars="100"/>
              <w:rPr>
                <w:rFonts w:hint="eastAsia" w:ascii="宋体" w:hAnsi="宋体" w:cs="宋体"/>
                <w:color w:val="000000"/>
                <w:szCs w:val="21"/>
              </w:rPr>
            </w:pPr>
            <w:r>
              <w:rPr>
                <w:rFonts w:hint="eastAsia" w:ascii="宋体" w:hAnsi="宋体" w:cs="宋体"/>
                <w:color w:val="000000"/>
                <w:szCs w:val="21"/>
              </w:rPr>
              <w:t>2.开展市场的各类宣传活动的策划及实施，拓展销售渠道；</w:t>
            </w:r>
          </w:p>
          <w:p>
            <w:pPr>
              <w:ind w:left="210" w:hanging="210" w:hangingChars="100"/>
              <w:rPr>
                <w:rFonts w:hint="eastAsia" w:ascii="宋体" w:hAnsi="宋体" w:cs="宋体"/>
                <w:color w:val="000000"/>
                <w:szCs w:val="21"/>
              </w:rPr>
            </w:pPr>
            <w:r>
              <w:rPr>
                <w:rFonts w:hint="eastAsia" w:ascii="宋体" w:hAnsi="宋体" w:cs="宋体"/>
                <w:color w:val="000000"/>
                <w:szCs w:val="21"/>
              </w:rPr>
              <w:t>3.维护公司网站品牌，进行有效的金融产品的推广</w:t>
            </w:r>
          </w:p>
        </w:tc>
        <w:tc>
          <w:tcPr>
            <w:tcW w:w="1621" w:type="dxa"/>
          </w:tcPr>
          <w:p>
            <w:pPr>
              <w:rPr>
                <w:rFonts w:hint="eastAsia" w:ascii="宋体" w:hAnsi="宋体" w:cs="宋体"/>
                <w:color w:val="000000"/>
                <w:szCs w:val="21"/>
              </w:rPr>
            </w:pPr>
            <w:r>
              <w:rPr>
                <w:rFonts w:hint="eastAsia" w:ascii="宋体" w:hAnsi="宋体" w:cs="宋体"/>
                <w:color w:val="000000"/>
                <w:szCs w:val="21"/>
              </w:rPr>
              <w:t>1.互联网金融基础知识</w:t>
            </w:r>
          </w:p>
          <w:p>
            <w:pPr>
              <w:rPr>
                <w:rFonts w:hint="eastAsia" w:ascii="宋体" w:hAnsi="宋体" w:cs="宋体"/>
                <w:color w:val="000000"/>
                <w:szCs w:val="21"/>
              </w:rPr>
            </w:pPr>
            <w:r>
              <w:rPr>
                <w:rFonts w:hint="eastAsia" w:ascii="宋体" w:hAnsi="宋体" w:cs="宋体"/>
                <w:color w:val="000000"/>
                <w:szCs w:val="21"/>
              </w:rPr>
              <w:t>2.网贷与众筹</w:t>
            </w:r>
          </w:p>
          <w:p>
            <w:pPr>
              <w:rPr>
                <w:rFonts w:hint="eastAsia" w:ascii="宋体" w:hAnsi="宋体" w:cs="宋体"/>
                <w:color w:val="000000"/>
                <w:szCs w:val="21"/>
              </w:rPr>
            </w:pPr>
            <w:r>
              <w:rPr>
                <w:rFonts w:hint="eastAsia" w:ascii="宋体" w:hAnsi="宋体" w:cs="宋体"/>
                <w:color w:val="000000"/>
                <w:szCs w:val="21"/>
              </w:rPr>
              <w:t>3.推销实务与技巧</w:t>
            </w:r>
          </w:p>
        </w:tc>
        <w:tc>
          <w:tcPr>
            <w:tcW w:w="1398" w:type="dxa"/>
            <w:vMerge w:val="restart"/>
          </w:tcPr>
          <w:p>
            <w:pPr>
              <w:rPr>
                <w:rFonts w:ascii="宋体" w:hAnsi="宋体"/>
                <w:color w:val="000000"/>
                <w:szCs w:val="21"/>
              </w:rPr>
            </w:pPr>
            <w:r>
              <w:rPr>
                <w:rFonts w:ascii="宋体" w:hAnsi="宋体"/>
                <w:color w:val="000000"/>
                <w:szCs w:val="21"/>
              </w:rPr>
              <w:t>1.</w:t>
            </w:r>
            <w:r>
              <w:rPr>
                <w:rFonts w:hint="eastAsia" w:ascii="宋体" w:hAnsi="宋体"/>
                <w:color w:val="000000"/>
                <w:szCs w:val="21"/>
              </w:rPr>
              <w:t>具备较强的组织协调、沟通及解决冲突的能力。</w:t>
            </w:r>
          </w:p>
          <w:p>
            <w:pPr>
              <w:rPr>
                <w:rFonts w:ascii="宋体" w:hAnsi="宋体"/>
                <w:color w:val="000000"/>
                <w:szCs w:val="21"/>
              </w:rPr>
            </w:pPr>
            <w:r>
              <w:rPr>
                <w:rFonts w:ascii="宋体" w:hAnsi="宋体"/>
                <w:color w:val="000000"/>
                <w:szCs w:val="21"/>
              </w:rPr>
              <w:t>2.</w:t>
            </w:r>
            <w:r>
              <w:rPr>
                <w:rFonts w:hint="eastAsia" w:ascii="宋体" w:hAnsi="宋体"/>
                <w:color w:val="000000"/>
                <w:szCs w:val="21"/>
              </w:rPr>
              <w:t>具备较强的团队协作、团队激励及自我激励能力。</w:t>
            </w:r>
          </w:p>
          <w:p>
            <w:pPr>
              <w:rPr>
                <w:rFonts w:ascii="宋体" w:hAnsi="宋体"/>
                <w:color w:val="000000"/>
                <w:szCs w:val="21"/>
              </w:rPr>
            </w:pPr>
            <w:r>
              <w:rPr>
                <w:rFonts w:ascii="宋体" w:hAnsi="宋体"/>
                <w:color w:val="000000"/>
                <w:szCs w:val="21"/>
              </w:rPr>
              <w:t>3.</w:t>
            </w:r>
            <w:r>
              <w:rPr>
                <w:rFonts w:hint="eastAsia" w:ascii="宋体" w:hAnsi="宋体"/>
                <w:color w:val="000000"/>
                <w:szCs w:val="21"/>
              </w:rPr>
              <w:t>具备较强的分析和解决问题的能力。</w:t>
            </w:r>
          </w:p>
          <w:p>
            <w:pPr>
              <w:rPr>
                <w:rFonts w:ascii="宋体" w:hAnsi="宋体"/>
                <w:color w:val="000000"/>
                <w:szCs w:val="21"/>
              </w:rPr>
            </w:pPr>
            <w:r>
              <w:rPr>
                <w:rFonts w:ascii="宋体" w:hAnsi="宋体"/>
                <w:color w:val="000000"/>
                <w:szCs w:val="21"/>
              </w:rPr>
              <w:t>4.</w:t>
            </w:r>
            <w:r>
              <w:rPr>
                <w:rFonts w:hint="eastAsia" w:ascii="宋体" w:hAnsi="宋体"/>
                <w:color w:val="000000"/>
                <w:szCs w:val="21"/>
              </w:rPr>
              <w:t>良好的英语沟通能力。</w:t>
            </w:r>
          </w:p>
          <w:p>
            <w:pPr>
              <w:numPr>
                <w:ilvl w:val="3"/>
                <w:numId w:val="2"/>
              </w:numPr>
              <w:rPr>
                <w:rFonts w:hint="eastAsia" w:ascii="宋体" w:hAnsi="宋体" w:cs="宋体"/>
                <w:color w:val="000000"/>
                <w:szCs w:val="21"/>
              </w:rPr>
            </w:pPr>
            <w:r>
              <w:rPr>
                <w:rFonts w:ascii="宋体" w:hAnsi="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2" w:type="dxa"/>
            <w:vMerge w:val="continue"/>
          </w:tcPr>
          <w:p>
            <w:pPr>
              <w:rPr>
                <w:rFonts w:hint="eastAsia" w:ascii="宋体" w:hAnsi="宋体" w:cs="宋体"/>
                <w:color w:val="000000"/>
                <w:szCs w:val="21"/>
              </w:rPr>
            </w:pPr>
          </w:p>
        </w:tc>
        <w:tc>
          <w:tcPr>
            <w:tcW w:w="1260" w:type="dxa"/>
          </w:tcPr>
          <w:p>
            <w:pPr>
              <w:rPr>
                <w:rFonts w:ascii="宋体" w:hAnsi="宋体"/>
                <w:color w:val="000000"/>
                <w:szCs w:val="21"/>
              </w:rPr>
            </w:pPr>
            <w:r>
              <w:rPr>
                <w:rFonts w:hint="eastAsia" w:ascii="宋体" w:hAnsi="宋体" w:cs="宋体"/>
                <w:color w:val="000000"/>
                <w:szCs w:val="21"/>
              </w:rPr>
              <w:t>二、</w:t>
            </w:r>
            <w:r>
              <w:rPr>
                <w:rFonts w:hint="eastAsia" w:ascii="宋体" w:hAnsi="宋体"/>
                <w:color w:val="000000"/>
                <w:szCs w:val="21"/>
              </w:rPr>
              <w:t>互联网平台的运营与管理</w:t>
            </w:r>
            <w:r>
              <w:rPr>
                <w:rFonts w:hint="eastAsia" w:ascii="宋体" w:hAnsi="宋体" w:cs="宋体"/>
                <w:color w:val="000000"/>
                <w:szCs w:val="21"/>
              </w:rPr>
              <w:t>C2</w:t>
            </w:r>
          </w:p>
          <w:p>
            <w:pPr>
              <w:rPr>
                <w:rFonts w:hint="eastAsia" w:ascii="宋体" w:hAnsi="宋体" w:cs="宋体"/>
                <w:color w:val="000000"/>
                <w:szCs w:val="21"/>
              </w:rPr>
            </w:pPr>
          </w:p>
        </w:tc>
        <w:tc>
          <w:tcPr>
            <w:tcW w:w="1192" w:type="dxa"/>
          </w:tcPr>
          <w:p>
            <w:pPr>
              <w:rPr>
                <w:rFonts w:hint="eastAsia" w:ascii="宋体" w:hAnsi="宋体" w:cs="宋体"/>
                <w:color w:val="000000"/>
                <w:szCs w:val="21"/>
              </w:rPr>
            </w:pPr>
            <w:r>
              <w:rPr>
                <w:rFonts w:hint="eastAsia" w:ascii="宋体" w:hAnsi="宋体" w:cs="宋体"/>
                <w:color w:val="000000"/>
                <w:szCs w:val="21"/>
              </w:rPr>
              <w:t>（一）</w:t>
            </w:r>
            <w:r>
              <w:rPr>
                <w:rFonts w:hint="eastAsia" w:ascii="宋体" w:hAnsi="宋体"/>
                <w:color w:val="000000"/>
                <w:szCs w:val="21"/>
              </w:rPr>
              <w:t>互联网平台的日常运营与管理</w:t>
            </w:r>
            <w:r>
              <w:rPr>
                <w:rFonts w:hint="eastAsia" w:ascii="宋体" w:hAnsi="宋体" w:cs="宋体"/>
                <w:color w:val="000000"/>
                <w:szCs w:val="21"/>
              </w:rPr>
              <w:t>C2-1</w:t>
            </w:r>
          </w:p>
        </w:tc>
        <w:tc>
          <w:tcPr>
            <w:tcW w:w="2293" w:type="dxa"/>
          </w:tcPr>
          <w:p>
            <w:pPr>
              <w:ind w:left="210" w:hanging="210" w:hangingChars="100"/>
              <w:rPr>
                <w:rFonts w:hint="eastAsia" w:ascii="宋体" w:hAnsi="宋体" w:cs="宋体"/>
                <w:color w:val="000000"/>
                <w:szCs w:val="21"/>
              </w:rPr>
            </w:pPr>
            <w:r>
              <w:rPr>
                <w:rFonts w:hint="eastAsia" w:ascii="宋体" w:hAnsi="宋体" w:cs="宋体"/>
                <w:color w:val="000000"/>
                <w:szCs w:val="21"/>
              </w:rPr>
              <w:t>1.市场开拓；</w:t>
            </w:r>
          </w:p>
          <w:p>
            <w:pPr>
              <w:ind w:left="210" w:hanging="210" w:hangingChars="100"/>
              <w:rPr>
                <w:rFonts w:hint="eastAsia" w:ascii="宋体" w:hAnsi="宋体" w:cs="宋体"/>
                <w:color w:val="000000"/>
                <w:szCs w:val="21"/>
              </w:rPr>
            </w:pPr>
            <w:r>
              <w:rPr>
                <w:rFonts w:hint="eastAsia" w:ascii="宋体" w:hAnsi="宋体" w:cs="宋体"/>
                <w:color w:val="000000"/>
                <w:szCs w:val="21"/>
              </w:rPr>
              <w:t>2.风险控制；</w:t>
            </w:r>
          </w:p>
          <w:p>
            <w:pPr>
              <w:ind w:left="210" w:hanging="210" w:hangingChars="100"/>
              <w:rPr>
                <w:rFonts w:hint="eastAsia" w:ascii="宋体" w:hAnsi="宋体" w:cs="宋体"/>
                <w:color w:val="000000"/>
                <w:szCs w:val="21"/>
              </w:rPr>
            </w:pPr>
            <w:r>
              <w:rPr>
                <w:rFonts w:hint="eastAsia" w:ascii="宋体" w:hAnsi="宋体" w:cs="宋体"/>
                <w:color w:val="000000"/>
                <w:szCs w:val="21"/>
              </w:rPr>
              <w:t>3.法律监控；</w:t>
            </w:r>
          </w:p>
          <w:p>
            <w:pPr>
              <w:ind w:left="210" w:hanging="210" w:hangingChars="100"/>
              <w:rPr>
                <w:rFonts w:hint="eastAsia" w:ascii="宋体" w:hAnsi="宋体" w:cs="宋体"/>
                <w:color w:val="000000"/>
                <w:szCs w:val="21"/>
              </w:rPr>
            </w:pPr>
            <w:r>
              <w:rPr>
                <w:rFonts w:hint="eastAsia" w:ascii="宋体" w:hAnsi="宋体" w:cs="宋体"/>
                <w:color w:val="000000"/>
                <w:szCs w:val="21"/>
              </w:rPr>
              <w:t>4.日常的运营与维护</w:t>
            </w:r>
          </w:p>
          <w:p>
            <w:pPr>
              <w:ind w:left="210" w:hanging="210" w:hangingChars="100"/>
              <w:rPr>
                <w:rFonts w:hint="eastAsia" w:ascii="宋体" w:hAnsi="宋体" w:cs="宋体"/>
                <w:color w:val="000000"/>
                <w:szCs w:val="21"/>
              </w:rPr>
            </w:pPr>
            <w:r>
              <w:rPr>
                <w:rFonts w:hint="eastAsia" w:ascii="宋体" w:hAnsi="宋体" w:cs="宋体"/>
                <w:color w:val="000000"/>
                <w:szCs w:val="21"/>
              </w:rPr>
              <w:t>5.团队建设</w:t>
            </w:r>
          </w:p>
          <w:p>
            <w:pPr>
              <w:ind w:left="210" w:hanging="210" w:hangingChars="100"/>
              <w:rPr>
                <w:rFonts w:hint="eastAsia" w:ascii="宋体" w:hAnsi="宋体" w:cs="宋体"/>
                <w:color w:val="000000"/>
                <w:szCs w:val="21"/>
              </w:rPr>
            </w:pPr>
            <w:r>
              <w:rPr>
                <w:rFonts w:hint="eastAsia" w:ascii="宋体" w:hAnsi="宋体" w:cs="宋体"/>
                <w:color w:val="000000"/>
                <w:szCs w:val="21"/>
              </w:rPr>
              <w:t>6.新产品的开发与管理</w:t>
            </w:r>
          </w:p>
        </w:tc>
        <w:tc>
          <w:tcPr>
            <w:tcW w:w="1621" w:type="dxa"/>
          </w:tcPr>
          <w:p>
            <w:pPr>
              <w:rPr>
                <w:rFonts w:hint="eastAsia" w:ascii="宋体" w:hAnsi="宋体" w:cs="宋体"/>
                <w:color w:val="000000"/>
                <w:szCs w:val="21"/>
              </w:rPr>
            </w:pPr>
            <w:r>
              <w:rPr>
                <w:rFonts w:hint="eastAsia" w:ascii="宋体" w:hAnsi="宋体" w:cs="宋体"/>
                <w:color w:val="000000"/>
                <w:szCs w:val="21"/>
              </w:rPr>
              <w:t>1.互联网金融基础知识</w:t>
            </w:r>
          </w:p>
          <w:p>
            <w:pPr>
              <w:rPr>
                <w:rFonts w:hint="eastAsia" w:ascii="宋体" w:hAnsi="宋体" w:cs="宋体"/>
                <w:color w:val="000000"/>
                <w:szCs w:val="21"/>
              </w:rPr>
            </w:pPr>
            <w:r>
              <w:rPr>
                <w:rFonts w:hint="eastAsia" w:ascii="宋体" w:hAnsi="宋体" w:cs="宋体"/>
                <w:color w:val="000000"/>
                <w:szCs w:val="21"/>
              </w:rPr>
              <w:t>2.网贷与众筹</w:t>
            </w:r>
          </w:p>
          <w:p>
            <w:pPr>
              <w:rPr>
                <w:rFonts w:hint="eastAsia" w:ascii="宋体" w:hAnsi="宋体" w:cs="宋体"/>
                <w:color w:val="000000"/>
                <w:szCs w:val="21"/>
              </w:rPr>
            </w:pPr>
            <w:r>
              <w:rPr>
                <w:rFonts w:hint="eastAsia" w:ascii="宋体" w:hAnsi="宋体" w:cs="宋体"/>
                <w:color w:val="000000"/>
                <w:szCs w:val="21"/>
              </w:rPr>
              <w:t>3.推销实务与技巧</w:t>
            </w:r>
          </w:p>
          <w:p>
            <w:pPr>
              <w:rPr>
                <w:rFonts w:hint="eastAsia" w:ascii="宋体" w:hAnsi="宋体" w:cs="宋体"/>
                <w:color w:val="000000"/>
                <w:szCs w:val="21"/>
              </w:rPr>
            </w:pPr>
            <w:r>
              <w:rPr>
                <w:rFonts w:hint="eastAsia" w:ascii="宋体" w:hAnsi="宋体" w:cs="宋体"/>
                <w:color w:val="000000"/>
                <w:szCs w:val="21"/>
              </w:rPr>
              <w:t>4.互联网运营与管理知识</w:t>
            </w:r>
          </w:p>
        </w:tc>
        <w:tc>
          <w:tcPr>
            <w:tcW w:w="1398" w:type="dxa"/>
            <w:vMerge w:val="continue"/>
          </w:tcPr>
          <w:p>
            <w:pPr>
              <w:rPr>
                <w:rFonts w:hint="eastAsia" w:ascii="宋体" w:hAnsi="宋体" w:cs="宋体"/>
                <w:color w:val="000000"/>
                <w:szCs w:val="21"/>
              </w:rPr>
            </w:pPr>
          </w:p>
        </w:tc>
      </w:tr>
    </w:tbl>
    <w:p>
      <w:pPr>
        <w:spacing w:line="400" w:lineRule="exact"/>
        <w:rPr>
          <w:rFonts w:hint="eastAsia" w:ascii="宋体" w:hAnsi="宋体"/>
          <w:color w:val="000000"/>
          <w:sz w:val="24"/>
        </w:rPr>
      </w:pPr>
    </w:p>
    <w:p>
      <w:pPr>
        <w:pStyle w:val="3"/>
        <w:spacing w:line="415" w:lineRule="auto"/>
        <w:ind w:firstLine="480" w:firstLineChars="200"/>
        <w:rPr>
          <w:rFonts w:ascii="黑体" w:hAnsi="黑体" w:eastAsia="黑体"/>
          <w:b w:val="0"/>
          <w:sz w:val="24"/>
        </w:rPr>
      </w:pPr>
      <w:bookmarkStart w:id="115" w:name="_Toc23132"/>
      <w:bookmarkStart w:id="116" w:name="_Toc75253728"/>
      <w:bookmarkStart w:id="117" w:name="_Toc78431541"/>
      <w:r>
        <w:rPr>
          <w:rFonts w:hint="eastAsia" w:ascii="黑体" w:hAnsi="黑体" w:eastAsia="黑体"/>
          <w:b w:val="0"/>
          <w:sz w:val="24"/>
        </w:rPr>
        <w:t>五、课程体系与教学进程安排</w:t>
      </w:r>
      <w:bookmarkEnd w:id="115"/>
      <w:bookmarkEnd w:id="116"/>
      <w:bookmarkEnd w:id="117"/>
    </w:p>
    <w:p>
      <w:pPr>
        <w:keepNext/>
        <w:keepLines/>
        <w:spacing w:line="400" w:lineRule="exact"/>
        <w:ind w:firstLine="480" w:firstLineChars="200"/>
        <w:outlineLvl w:val="2"/>
        <w:rPr>
          <w:rFonts w:hint="eastAsia" w:ascii="华文楷体" w:hAnsi="华文楷体" w:eastAsia="华文楷体" w:cs="华文楷体"/>
          <w:b/>
          <w:bCs/>
          <w:color w:val="000000"/>
          <w:kern w:val="0"/>
          <w:sz w:val="24"/>
        </w:rPr>
      </w:pPr>
      <w:bookmarkStart w:id="118" w:name="_Toc7745"/>
      <w:bookmarkStart w:id="119" w:name="_Toc78431542"/>
      <w:bookmarkStart w:id="120" w:name="_Toc75253729"/>
      <w:r>
        <w:rPr>
          <w:rFonts w:hint="eastAsia" w:ascii="华文楷体" w:hAnsi="华文楷体" w:eastAsia="华文楷体" w:cs="华文楷体"/>
          <w:b/>
          <w:bCs/>
          <w:color w:val="000000"/>
          <w:kern w:val="0"/>
          <w:sz w:val="24"/>
        </w:rPr>
        <w:t>（一）课程体系建设规划与建设思路</w:t>
      </w:r>
      <w:bookmarkEnd w:id="118"/>
      <w:bookmarkEnd w:id="119"/>
      <w:bookmarkEnd w:id="120"/>
    </w:p>
    <w:p>
      <w:pPr>
        <w:spacing w:line="360" w:lineRule="auto"/>
        <w:ind w:firstLine="480" w:firstLineChars="200"/>
        <w:rPr>
          <w:rFonts w:hint="eastAsia" w:ascii="宋体" w:hAnsi="宋体"/>
          <w:sz w:val="24"/>
        </w:rPr>
      </w:pPr>
      <w:r>
        <w:rPr>
          <w:rFonts w:ascii="宋体" w:hAnsi="宋体"/>
          <w:sz w:val="24"/>
        </w:rPr>
        <w:t>1</w:t>
      </w:r>
      <w:r>
        <w:rPr>
          <w:rFonts w:hint="eastAsia" w:ascii="宋体" w:hAnsi="宋体"/>
          <w:sz w:val="24"/>
        </w:rPr>
        <w:t>．以市场为导向，重构专业人才培养新目标</w:t>
      </w:r>
    </w:p>
    <w:p>
      <w:pPr>
        <w:spacing w:line="360" w:lineRule="auto"/>
        <w:ind w:firstLine="480" w:firstLineChars="200"/>
        <w:rPr>
          <w:rFonts w:ascii="宋体" w:hAnsi="宋体"/>
          <w:sz w:val="24"/>
        </w:rPr>
      </w:pPr>
      <w:r>
        <w:rPr>
          <w:rFonts w:hint="eastAsia" w:ascii="宋体" w:hAnsi="宋体"/>
          <w:sz w:val="24"/>
        </w:rPr>
        <w:t>科技和互联网技术的发展带来了许多新的金融问题，这些问题已经不再局限于传统金融学的领域，而是涉及更多的学科，目前，各金融机构的招聘职位包括互联网金融部门经理、产品研发经理、市场营销经理等，都需要集金融业务知识、互联网信息技术、市场营销等多种知识技能于一体的“互联网金融人才”。金融科技应用专业人才培养要以市场需求为导向，根据当前金融业态和互联网技术的发展特征和趋势，确定切合实际的专业人才培养目标，遵循专业基础扎实、学科知识宽广、应用能力强的原则，培养数据技术型、</w:t>
      </w:r>
      <w:r>
        <w:rPr>
          <w:rFonts w:ascii="宋体" w:hAnsi="宋体"/>
          <w:sz w:val="24"/>
        </w:rPr>
        <w:t xml:space="preserve">IT </w:t>
      </w:r>
      <w:r>
        <w:rPr>
          <w:rFonts w:hint="eastAsia" w:ascii="宋体" w:hAnsi="宋体"/>
          <w:sz w:val="24"/>
        </w:rPr>
        <w:t>综合型、设计应用型的高素质复合型金融人才。金融科技应用专业作为金融领域最具创新性和发展性的前沿领域，需要专业课程体系建设适应时代要求和金融发展方向。开展互联网金融创新和创业人才的教育教学改革，培养学生的自主学习能力、创新精神、创业技能和创新思维。</w:t>
      </w:r>
    </w:p>
    <w:p>
      <w:pPr>
        <w:spacing w:line="360" w:lineRule="auto"/>
        <w:ind w:firstLine="480" w:firstLineChars="200"/>
        <w:rPr>
          <w:rFonts w:hint="eastAsia" w:ascii="宋体" w:hAnsi="宋体"/>
          <w:sz w:val="24"/>
        </w:rPr>
      </w:pPr>
      <w:r>
        <w:rPr>
          <w:rFonts w:ascii="宋体" w:hAnsi="宋体"/>
          <w:sz w:val="24"/>
        </w:rPr>
        <w:t>2</w:t>
      </w:r>
      <w:r>
        <w:rPr>
          <w:rFonts w:hint="eastAsia" w:ascii="宋体" w:hAnsi="宋体"/>
          <w:sz w:val="24"/>
        </w:rPr>
        <w:t>．注重学科交叉，优化互联网金融课程体系</w:t>
      </w:r>
    </w:p>
    <w:p>
      <w:pPr>
        <w:spacing w:line="360" w:lineRule="auto"/>
        <w:ind w:firstLine="480" w:firstLineChars="200"/>
        <w:rPr>
          <w:rFonts w:hint="eastAsia" w:ascii="宋体" w:hAnsi="宋体"/>
          <w:sz w:val="24"/>
        </w:rPr>
      </w:pPr>
      <w:r>
        <w:rPr>
          <w:rFonts w:hint="eastAsia" w:ascii="宋体" w:hAnsi="宋体"/>
          <w:sz w:val="24"/>
        </w:rPr>
        <w:t>高校互联网金融学课程的培养要求应包括：掌握现代金融基础理论，把握互联网金融的最新发展，掌握互联网金融的业态变化与发展趋势，熟悉互联网金融的交易环节与运行原理，知晓互联网金融的风险类型与监管体系，并掌握计算机技术、网络技术、电子商务、大数据、法律等相关知识。互联网金融专业方向的课程设置要有助于学生形成综合性、多层次的能力结构，培养学生理论知识应用与独立创新的能力。</w:t>
      </w:r>
    </w:p>
    <w:p>
      <w:pPr>
        <w:spacing w:line="360" w:lineRule="auto"/>
        <w:ind w:firstLine="480" w:firstLineChars="200"/>
        <w:rPr>
          <w:rFonts w:hint="eastAsia" w:ascii="宋体" w:hAnsi="宋体"/>
          <w:sz w:val="24"/>
        </w:rPr>
      </w:pPr>
      <w:r>
        <w:rPr>
          <w:rFonts w:hint="eastAsia" w:ascii="宋体" w:hAnsi="宋体"/>
          <w:sz w:val="24"/>
        </w:rPr>
        <w:t>互联网金融人才应具备的能力结构包括：基础业务操作和管理能力，能够从事银行、证券、保险、基金等金融机构的基础业务工作；计算机操作能力及互联网金融营销能力；运用大数据、云计算、数据挖掘等互联网金融相关的信息技术知识的技能；互联网思维及金融创新能力、金融风险管理能力、金融产品设计能力等。</w:t>
      </w:r>
    </w:p>
    <w:p>
      <w:pPr>
        <w:spacing w:line="360" w:lineRule="auto"/>
        <w:ind w:firstLine="480" w:firstLineChars="200"/>
        <w:rPr>
          <w:rFonts w:hint="eastAsia" w:ascii="宋体" w:hAnsi="宋体"/>
          <w:sz w:val="24"/>
        </w:rPr>
      </w:pPr>
      <w:r>
        <w:rPr>
          <w:rFonts w:hint="eastAsia" w:ascii="宋体" w:hAnsi="宋体"/>
          <w:sz w:val="24"/>
        </w:rPr>
        <w:t>因此，互联网金融专业建设、课程设置应注重学科交叉，强化互联网金融知识，强调计算机知识、网络技术运用能力的培养，开发数据挖掘、信用评估、风险评价等相应的课程体系。</w:t>
      </w:r>
    </w:p>
    <w:p>
      <w:pPr>
        <w:spacing w:line="360" w:lineRule="auto"/>
        <w:ind w:firstLine="480" w:firstLineChars="200"/>
        <w:rPr>
          <w:rFonts w:hint="eastAsia" w:ascii="宋体" w:hAnsi="宋体"/>
          <w:sz w:val="24"/>
        </w:rPr>
      </w:pPr>
      <w:r>
        <w:rPr>
          <w:rFonts w:ascii="宋体" w:hAnsi="宋体"/>
          <w:sz w:val="24"/>
        </w:rPr>
        <w:t>3</w:t>
      </w:r>
      <w:r>
        <w:rPr>
          <w:rFonts w:hint="eastAsia" w:ascii="宋体" w:hAnsi="宋体"/>
          <w:sz w:val="24"/>
        </w:rPr>
        <w:t>．紧扣时代发展，更新课程体系与教学内容</w:t>
      </w:r>
    </w:p>
    <w:p>
      <w:pPr>
        <w:spacing w:line="360" w:lineRule="auto"/>
        <w:ind w:firstLine="480" w:firstLineChars="200"/>
        <w:rPr>
          <w:rFonts w:hint="eastAsia" w:ascii="宋体" w:hAnsi="宋体"/>
          <w:sz w:val="24"/>
        </w:rPr>
      </w:pPr>
      <w:r>
        <w:rPr>
          <w:rFonts w:hint="eastAsia" w:ascii="宋体" w:hAnsi="宋体"/>
          <w:sz w:val="24"/>
        </w:rPr>
        <w:t>在专业课程体系建设方面，根据时代发展对金融科技类人才的需求进行相应的调整。在基础理论知识的课程设置上，开设数学和统计学，在专业课程设置方面，重视大数据技术与应用、数据挖掘与分析、智能投顾、监管科技等课程。“互联网金融概论”课程重点讲授互联网金融原理、互联网支付系统、互联网借贷、网络众筹、数字加密货币、互联网金融业务创新、大数据金融、互联网投资理财、互联网金融风险、互联网金融监管、数字加密货币互联网金融与宏观管理、互联网金融基础设施等。同时增加实务课程的学习和研究，如股票模拟操作、互联网金融营销、互联网金融平台等课程，通过实务操作、模拟教学、现场观摩和案例分析，提升学生的实践应用能力。鼓励建立互联网金融或金融科技实验室，搭建互联网业务的仿真模拟教学平台，加强与各类金融机构、互联网企业、金融科技公司的合作，为学生创造实习、实践与实训的机会。</w:t>
      </w:r>
    </w:p>
    <w:p>
      <w:pPr>
        <w:spacing w:line="360" w:lineRule="auto"/>
        <w:ind w:firstLine="480" w:firstLineChars="200"/>
        <w:rPr>
          <w:rFonts w:hint="eastAsia" w:ascii="宋体" w:hAnsi="宋体"/>
          <w:sz w:val="24"/>
        </w:rPr>
      </w:pPr>
      <w:r>
        <w:rPr>
          <w:rFonts w:ascii="宋体" w:hAnsi="宋体"/>
          <w:sz w:val="24"/>
        </w:rPr>
        <w:t>4</w:t>
      </w:r>
      <w:r>
        <w:rPr>
          <w:rFonts w:hint="eastAsia" w:ascii="宋体" w:hAnsi="宋体"/>
          <w:sz w:val="24"/>
        </w:rPr>
        <w:t>．创新互联网金融教学模式与教学手段</w:t>
      </w:r>
    </w:p>
    <w:p>
      <w:pPr>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目前，课堂讲授的传统教学模式已经无法满足新时代金融科技应用专业方向的教学目标。从市场需求来看，金融科技应用专业教学应借助网络技术，走线上线下结合的教学模式。通过智慧职教平台搭建线上及线下的学习模式，根据金融实践需求，达到对人才的职业能力综合培养，以满足金融企业发展对人才培养的需求。第一，积极探讨案例教学方法的应用，把握互联网金融企业和金融科技类企业实践发展的现状，分析问题，激发学生解决问题。教师在教学中选取互联网金融中的典型案例，带领学生剖析解构互联网金融产品营销需要的关键技术和技术平台，破除两个行业间的壁障，呈现行业跨界创新的动力与效应，实现理论与实践教学相结合。在案例教学过程中，实现教师与学生的场景式互动，有利于培养学生的创新精神和实践能力。通过模拟教学法展示网络借贷平台、第三方支付平台、众筹平台、财富管理平台等运营情况，通过互联网金融产品设计、组织运营管理比赛，培养学生的创新创业能力。加强与金融类企业、机构、互联网金融平台的联系，联合培养学生的实践能力。并且通过互联网金融网络课程、互联网金融相关微课、</w:t>
      </w:r>
      <w:r>
        <w:rPr>
          <w:rFonts w:asciiTheme="minorEastAsia" w:hAnsiTheme="minorEastAsia" w:eastAsiaTheme="minorEastAsia"/>
          <w:sz w:val="24"/>
        </w:rPr>
        <w:t xml:space="preserve">SPOC </w:t>
      </w:r>
      <w:r>
        <w:rPr>
          <w:rFonts w:hint="eastAsia" w:asciiTheme="minorEastAsia" w:hAnsiTheme="minorEastAsia" w:eastAsiaTheme="minorEastAsia"/>
          <w:sz w:val="24"/>
        </w:rPr>
        <w:t>和</w:t>
      </w:r>
      <w:r>
        <w:rPr>
          <w:rFonts w:asciiTheme="minorEastAsia" w:hAnsiTheme="minorEastAsia" w:eastAsiaTheme="minorEastAsia"/>
          <w:sz w:val="24"/>
        </w:rPr>
        <w:t xml:space="preserve"> MOOC </w:t>
      </w:r>
      <w:r>
        <w:rPr>
          <w:rFonts w:hint="eastAsia" w:asciiTheme="minorEastAsia" w:hAnsiTheme="minorEastAsia" w:eastAsiaTheme="minorEastAsia"/>
          <w:sz w:val="24"/>
        </w:rPr>
        <w:t>等，满足学生自主学习的需要。第三，搭建产学研协同的互联网金融实践教学平台。根据互联网金融行业发展的大趋势，高等院校、相关政府部门、金融机构、电商企业及行业协会等方面应协同配合，寻找政产学研合作的培养模式，由多方共同开发、设计互联网金融方向人才培养的职业能力体系标准，将职业关键能力与素质培养作为教学体系设计的重要内容贯穿于教学全过程。</w:t>
      </w:r>
    </w:p>
    <w:p>
      <w:pPr>
        <w:pStyle w:val="44"/>
        <w:ind w:firstLine="480"/>
        <w:rPr>
          <w:b/>
          <w:bCs w:val="0"/>
        </w:rPr>
      </w:pPr>
      <w:bookmarkStart w:id="121" w:name="_Toc78431543"/>
      <w:bookmarkStart w:id="122" w:name="_Toc75253730"/>
      <w:bookmarkStart w:id="123" w:name="_Toc14424"/>
      <w:r>
        <w:rPr>
          <w:rFonts w:hint="eastAsia"/>
          <w:b/>
          <w:bCs w:val="0"/>
        </w:rPr>
        <w:t>（二）课程结构与课程体系</w:t>
      </w:r>
      <w:bookmarkEnd w:id="121"/>
      <w:bookmarkEnd w:id="122"/>
      <w:bookmarkEnd w:id="123"/>
    </w:p>
    <w:p>
      <w:pPr>
        <w:pStyle w:val="45"/>
        <w:rPr>
          <w:rFonts w:hint="eastAsia" w:ascii="宋体" w:hAnsi="宋体" w:eastAsia="宋体" w:cs="宋体"/>
          <w:b w:val="0"/>
          <w:bCs/>
        </w:rPr>
      </w:pPr>
      <w:r>
        <w:rPr>
          <w:rFonts w:hint="eastAsia" w:ascii="宋体" w:hAnsi="宋体" w:eastAsia="宋体" w:cs="宋体"/>
          <w:b w:val="0"/>
          <w:bCs/>
        </w:rPr>
        <w:t>1.基本素质课程</w:t>
      </w:r>
    </w:p>
    <w:p>
      <w:pPr>
        <w:pStyle w:val="34"/>
        <w:spacing w:line="440" w:lineRule="exact"/>
        <w:ind w:firstLine="470" w:firstLineChars="196"/>
        <w:rPr>
          <w:rFonts w:hint="eastAsia" w:ascii="宋体" w:hAnsi="宋体" w:eastAsia="宋体" w:cs="宋体"/>
          <w:b w:val="0"/>
          <w:bCs/>
          <w:lang w:eastAsia="zh-CN"/>
        </w:rPr>
      </w:pPr>
      <w:r>
        <w:rPr>
          <w:rFonts w:hint="eastAsia" w:ascii="宋体" w:hAnsi="宋体" w:eastAsia="宋体" w:cs="宋体"/>
          <w:b w:val="0"/>
          <w:bCs/>
        </w:rPr>
        <w:t>基础素质课程体系建设如下表所示</w:t>
      </w:r>
      <w:r>
        <w:rPr>
          <w:rFonts w:hint="eastAsia" w:ascii="宋体" w:cs="宋体"/>
          <w:b w:val="0"/>
          <w:bCs/>
          <w:lang w:eastAsia="zh-CN"/>
        </w:rPr>
        <w:t>。</w:t>
      </w:r>
    </w:p>
    <w:tbl>
      <w:tblPr>
        <w:tblStyle w:val="26"/>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FF0000"/>
                <w:szCs w:val="21"/>
              </w:rPr>
            </w:pPr>
            <w:r>
              <w:rPr>
                <w:rFonts w:hint="eastAsia" w:ascii="宋体" w:hAnsi="宋体" w:cs="宋体"/>
                <w:b/>
                <w:color w:val="FF0000"/>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FF0000"/>
                <w:szCs w:val="21"/>
              </w:rPr>
            </w:pPr>
            <w:r>
              <w:rPr>
                <w:rFonts w:hint="eastAsia" w:ascii="宋体" w:hAnsi="宋体" w:cs="宋体"/>
                <w:color w:val="FF0000"/>
                <w:szCs w:val="21"/>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000000"/>
                <w:szCs w:val="21"/>
              </w:rPr>
            </w:pPr>
            <w:r>
              <w:rPr>
                <w:rFonts w:hint="eastAsia" w:ascii="宋体" w:hAnsi="宋体" w:cs="宋体"/>
                <w:color w:val="000000"/>
                <w:szCs w:val="21"/>
              </w:rPr>
              <w:t>思想道德修养与法律基础</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FF0000"/>
                <w:szCs w:val="21"/>
              </w:rPr>
              <w:t>是中共中央宣传部和国家教育部规定的高职院校思想政治理论教育二门课程中的骨干和核心课程之一，</w:t>
            </w:r>
            <w:r>
              <w:rPr>
                <w:rFonts w:hint="eastAsia" w:ascii="宋体" w:hAnsi="宋体" w:cs="宋体"/>
                <w:color w:val="000000"/>
                <w:szCs w:val="21"/>
              </w:rPr>
              <w:t>是一门面向所有专业学生进行思想道德和法制教育的公共理论必修课。是《毛泽东思想和中国特色社会主义理论体系概论》的先修课程。</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以马克思主义为指导，以社会主义核心价值观为主线，针对大学生成长过程中面临的思想道德和法律问题，有效地开展马克思主义世界观、人生观、价值观、道德观和法制观的教育，引导大学生树立高尚的理想情操，养成良好的道德素质，树立体现中华民族优秀传统和时代精神的价值标准和行为规范，使大学生成长为德智体美全面发展的中国特色社会主义事业的合格建设者和可靠接班人。</w:t>
            </w: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numPr>
                <w:ilvl w:val="0"/>
                <w:numId w:val="1"/>
              </w:numPr>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大学生理想信念教育</w:t>
            </w:r>
          </w:p>
          <w:p>
            <w:pPr>
              <w:keepNext w:val="0"/>
              <w:keepLines w:val="0"/>
              <w:pageBreakBefore w:val="0"/>
              <w:numPr>
                <w:ilvl w:val="0"/>
                <w:numId w:val="1"/>
              </w:numPr>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大学生道德教育</w:t>
            </w:r>
          </w:p>
          <w:p>
            <w:pPr>
              <w:keepNext w:val="0"/>
              <w:keepLines w:val="0"/>
              <w:pageBreakBefore w:val="0"/>
              <w:numPr>
                <w:ilvl w:val="0"/>
                <w:numId w:val="1"/>
              </w:numPr>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大学生法制教育</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主</w:t>
            </w:r>
            <w:r>
              <w:rPr>
                <w:rFonts w:hint="eastAsia" w:ascii="宋体" w:hAnsi="宋体" w:cs="宋体"/>
                <w:b/>
                <w:color w:val="000000"/>
                <w:szCs w:val="21"/>
              </w:rPr>
              <w:t>要学习内容与要求</w:t>
            </w:r>
            <w:r>
              <w:rPr>
                <w:rFonts w:hint="eastAsia" w:ascii="宋体" w:hAnsi="宋体" w:cs="宋体"/>
                <w:color w:val="000000"/>
                <w:szCs w:val="21"/>
              </w:rPr>
              <w:t>：了解高职教育的特点和意义，明了大学生活的特点，懂得如何适应大学生活并树立新的学习理念；了解我国道德建设现状及道德的主要功能，了解中国特色社会主义法律体系的内容及作用，明了法制与法治、道德与法律的区别。使大学生了解理想信念的含义、类别及其重要作用，树立科学的理想信念，懂得人生理想信念对大学生成长成才的重要意义。</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000000"/>
                <w:szCs w:val="21"/>
              </w:rPr>
            </w:pPr>
            <w:r>
              <w:rPr>
                <w:rFonts w:hint="eastAsia" w:ascii="宋体" w:hAnsi="宋体" w:cs="宋体"/>
                <w:color w:val="000000"/>
                <w:szCs w:val="21"/>
              </w:rPr>
              <w:t>毛泽东思想和中国特色社会主义理论体系概论</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是中共中央宣传部和国家教育部规定的高职院校思想政治理论教育二门课程中的骨干和核心课程，是高等学校学生必修的基础教育课，是大学生思想政治教育的主渠道，是培养中国特色社会主义合格建设者和可靠接班人的不可缺少的教育内容。</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本课程的主要内容是围绕中国化的马克思主义这一教学主题，通过讲清毛泽东思想、中国特色社会主义理论体系二大理论成果， 阐明中国特色的新民主主义革命道路、社会主义改造道路、社会主义现代化建设道路三条特色道路，通过马克思主义基本原理与中国实际相结合的历史进程的讲授，学生要能够系统掌握马列主义、毛泽东思想和中国特色社会主义理论体系的基本原理，坚定在党的领导下走中国特色社会主义道路的理想信念。</w:t>
            </w: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1毛泽东思想</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2邓小平理论、“三个代表”重要思想、科学发展观、3习近平新时代中国特色社会主义思想。</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主</w:t>
            </w:r>
            <w:r>
              <w:rPr>
                <w:rFonts w:hint="eastAsia" w:ascii="宋体" w:hAnsi="宋体" w:cs="宋体"/>
                <w:b/>
                <w:color w:val="000000"/>
                <w:szCs w:val="21"/>
              </w:rPr>
              <w:t>要学习内容与要求</w:t>
            </w:r>
            <w:r>
              <w:rPr>
                <w:rFonts w:hint="eastAsia" w:ascii="宋体" w:hAnsi="宋体" w:cs="宋体"/>
                <w:color w:val="000000"/>
                <w:szCs w:val="21"/>
              </w:rPr>
              <w:t>：了解马克思主义中国化的过程及其主要成果；了解两大理论成果之间的关系；习近平新时代中国特色社会主义思想是马克思主义中国化最新理论成果。明确社会主义社会的总任务是实现中华民族伟大复兴的中国梦，以及我国当前社会主义社会基本矛盾的转化与社会发展的联系。充分理解五位一体总体布局、四个全面战略布局的关系与重大战略意义，增强道路自信、理论自信、制度自信和文化自信。</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形势与政策</w:t>
            </w:r>
          </w:p>
        </w:tc>
        <w:tc>
          <w:tcPr>
            <w:tcW w:w="20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是高校学生必修思想政治理论课程，是对学生进行形势与政策教育的主渠道、主阵地。</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本课程主要是帮助学生全面正确地认识党和国家面临的形势和任务，拥护党的路线、方针和政策，增强实现全面建成小康社会和社会主义现代化强国建设宏伟目标的信心和社会责任感。同时使学生基本掌握该课程的基础理论知识、基本理论观点、分析问题的基本方法，并能够运用这些知识和方法去分析现实生活中的一些问题，把理论渗透到实践中，指导自己的行为。</w:t>
            </w: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本课程教学内容根据教育部社政司和和辽宁省教育厅下发的每学期《高校“形势与政策”教育教学要点》，主要围绕党和国家推出的重大战略决策和当下国际、国内形势的热点、焦点问题，并结合我校教学实际情况和学生关注的热点、焦点问题来确定，组织实施我校全校学生《形势与政策》课的教育教学工作。</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中国传统文化</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中华传统文化是一门公共必修课，旨在讲授中国传统文化，传承中国民族精神，弘扬优秀历史传统，提高学校教育文化品位和学生人文素养。</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通过本课程的学习，帮助学生深入了解中华民族文化的主要精神，从而培养他们对祖国的情感和爱国情操；帮助他们理解和认识中国传统文化的优秀要素和传统思维方式，以便帮助他们掌握多种认识方法，这在影响他们的人生、社交和工作态度以及养成良好的行为习惯方面，有所裨益。</w:t>
            </w: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对中国传统文化中的哲学、伦理、宗教、教育、语言文字、文学、艺术、史学和科学技术的文化传统的发展历程有初步的了解。 并结合实际，观察生活、不断思考，将思考所得应用于实际生活当中。</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5</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000000"/>
                <w:szCs w:val="21"/>
              </w:rPr>
            </w:pPr>
            <w:r>
              <w:rPr>
                <w:rFonts w:hint="eastAsia" w:ascii="宋体" w:hAnsi="宋体" w:cs="宋体"/>
                <w:color w:val="000000"/>
                <w:szCs w:val="21"/>
              </w:rPr>
              <w:t>大学生</w:t>
            </w:r>
            <w:r>
              <w:rPr>
                <w:rFonts w:ascii="宋体" w:hAnsi="宋体" w:cs="宋体"/>
                <w:color w:val="000000"/>
                <w:szCs w:val="21"/>
              </w:rPr>
              <w:t>心理健康教育</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公共基本素质必修课，</w:t>
            </w:r>
            <w:r>
              <w:rPr>
                <w:rFonts w:ascii="宋体" w:hAnsi="宋体" w:cs="宋体"/>
                <w:color w:val="FF0000"/>
                <w:szCs w:val="21"/>
              </w:rPr>
              <w:t>主要讲</w:t>
            </w:r>
            <w:r>
              <w:rPr>
                <w:rFonts w:hint="eastAsia" w:ascii="宋体" w:hAnsi="宋体" w:cs="宋体"/>
                <w:color w:val="FF0000"/>
                <w:szCs w:val="21"/>
              </w:rPr>
              <w:t>授</w:t>
            </w:r>
            <w:r>
              <w:rPr>
                <w:rFonts w:ascii="宋体" w:hAnsi="宋体" w:cs="宋体"/>
                <w:color w:val="FF0000"/>
                <w:szCs w:val="21"/>
              </w:rPr>
              <w:t>心理健康</w:t>
            </w:r>
            <w:r>
              <w:rPr>
                <w:rFonts w:hint="eastAsia" w:ascii="宋体" w:hAnsi="宋体" w:cs="宋体"/>
                <w:color w:val="FF0000"/>
                <w:szCs w:val="21"/>
              </w:rPr>
              <w:t>基础</w:t>
            </w:r>
            <w:r>
              <w:rPr>
                <w:rFonts w:ascii="宋体" w:hAnsi="宋体" w:cs="宋体"/>
                <w:color w:val="FF0000"/>
                <w:szCs w:val="21"/>
              </w:rPr>
              <w:t>知识</w:t>
            </w:r>
            <w:r>
              <w:rPr>
                <w:rFonts w:hint="eastAsia" w:ascii="宋体" w:hAnsi="宋体" w:cs="宋体"/>
                <w:color w:val="FF0000"/>
                <w:szCs w:val="21"/>
              </w:rPr>
              <w:t>，</w:t>
            </w:r>
            <w:r>
              <w:rPr>
                <w:rFonts w:ascii="宋体" w:hAnsi="宋体" w:cs="宋体"/>
                <w:color w:val="FF0000"/>
                <w:szCs w:val="21"/>
              </w:rPr>
              <w:t>使学生掌握</w:t>
            </w:r>
            <w:r>
              <w:rPr>
                <w:rFonts w:hint="eastAsia" w:ascii="宋体" w:hAnsi="宋体"/>
                <w:color w:val="FF0000"/>
                <w:szCs w:val="21"/>
              </w:rPr>
              <w:t>心理健康基础知识，增强自我心理保健意识和心理危机预防意识，</w:t>
            </w:r>
            <w:r>
              <w:rPr>
                <w:rFonts w:ascii="宋体" w:hAnsi="宋体"/>
                <w:color w:val="FF0000"/>
                <w:szCs w:val="21"/>
              </w:rPr>
              <w:t>重点是</w:t>
            </w:r>
            <w:r>
              <w:rPr>
                <w:rFonts w:hint="eastAsia" w:ascii="宋体" w:hAnsi="宋体"/>
                <w:color w:val="FF0000"/>
                <w:szCs w:val="21"/>
              </w:rPr>
              <w:t>培养</w:t>
            </w:r>
            <w:r>
              <w:rPr>
                <w:rFonts w:ascii="宋体" w:hAnsi="宋体"/>
                <w:color w:val="FF0000"/>
                <w:szCs w:val="21"/>
              </w:rPr>
              <w:t>学生的</w:t>
            </w:r>
            <w:r>
              <w:rPr>
                <w:rFonts w:hint="eastAsia" w:ascii="宋体" w:hAnsi="宋体"/>
                <w:color w:val="FF0000"/>
                <w:szCs w:val="21"/>
              </w:rPr>
              <w:t>自我认知能力、人际沟通能力、自我调节能力，切实提高心理素质，促进学生全面发展。</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掌握自我探索技能，心理调适技能及心理发展技能，使学生树立心理健康发展的自主意识</w:t>
            </w:r>
            <w:r>
              <w:rPr>
                <w:rFonts w:hint="eastAsia" w:ascii="宋体" w:hAnsi="宋体"/>
                <w:color w:val="FF0000"/>
                <w:szCs w:val="21"/>
              </w:rPr>
              <w:t>，</w:t>
            </w:r>
            <w:r>
              <w:rPr>
                <w:rFonts w:hint="eastAsia" w:ascii="宋体" w:hAnsi="宋体" w:cs="宋体"/>
                <w:color w:val="000000"/>
                <w:szCs w:val="21"/>
              </w:rPr>
              <w:t>了解自身的心理特点和性格特征，能够对自己的身体条件、心理状况、行为能力等进行客观评价，正确认识自己、接纳自己，在遇到心理问题时能够进行自我调适或寻求帮助，积极探索适合自己并适应社会的生活状态。</w:t>
            </w: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1．心理健康的基础知识</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 xml:space="preserve">2．了解自我，发展自我 </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 xml:space="preserve">3．自我心理调适能力提升 </w:t>
            </w:r>
          </w:p>
          <w:p>
            <w:pPr>
              <w:keepNext w:val="0"/>
              <w:keepLines w:val="0"/>
              <w:pageBreakBefore w:val="0"/>
              <w:kinsoku/>
              <w:wordWrap/>
              <w:overflowPunct/>
              <w:topLinePunct w:val="0"/>
              <w:autoSpaceDE/>
              <w:autoSpaceDN/>
              <w:bidi w:val="0"/>
              <w:spacing w:line="400" w:lineRule="exact"/>
              <w:ind w:left="210" w:hanging="210" w:hangingChars="100"/>
              <w:textAlignment w:val="auto"/>
              <w:rPr>
                <w:rFonts w:ascii="宋体" w:hAnsi="宋体" w:cs="宋体"/>
                <w:color w:val="FF0000"/>
                <w:szCs w:val="21"/>
              </w:rPr>
            </w:pPr>
            <w:r>
              <w:rPr>
                <w:rFonts w:hint="eastAsia" w:ascii="宋体" w:hAnsi="宋体" w:cs="宋体"/>
                <w:color w:val="FF0000"/>
                <w:szCs w:val="21"/>
              </w:rPr>
              <w:t xml:space="preserve">4．心理健康教育活动 </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b/>
                <w:bCs/>
                <w:color w:val="FF0000"/>
                <w:szCs w:val="21"/>
              </w:rPr>
              <w:t>主要学习内容与要求：</w:t>
            </w:r>
            <w:r>
              <w:rPr>
                <w:rFonts w:hint="eastAsia" w:ascii="宋体" w:hAnsi="宋体" w:cs="宋体"/>
                <w:color w:val="FF0000"/>
                <w:szCs w:val="21"/>
              </w:rPr>
              <w:t>了解自身的心理特点和性格特征，能够对自己的身体条件、心理状况、行为能力等进行客观评价，掌握正确认识自己、接纳自己，在遇到心理问题时能够进行自我调适或寻求帮助，积极探索适合自己并适应社会的生活状态。</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FF0000"/>
                <w:szCs w:val="21"/>
              </w:rPr>
            </w:pPr>
            <w:r>
              <w:rPr>
                <w:rFonts w:ascii="宋体" w:hAnsi="宋体" w:cs="宋体"/>
                <w:b/>
                <w:color w:val="FF0000"/>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6</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000000"/>
                <w:szCs w:val="21"/>
              </w:rPr>
            </w:pPr>
            <w:r>
              <w:rPr>
                <w:rFonts w:hint="eastAsia" w:ascii="宋体" w:hAnsi="宋体" w:cs="宋体"/>
                <w:color w:val="000000"/>
                <w:szCs w:val="21"/>
              </w:rPr>
              <w:t>职业生涯规划</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公共必修课</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bCs/>
                <w:iCs/>
                <w:color w:val="FF0000"/>
                <w:szCs w:val="21"/>
              </w:rPr>
              <w:t>新生入学教育中，各二级学院开设《职业生涯规划》课程。</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通过本课程的学习，学生应当基本了解职业发展的阶段特点；较为清晰的认识自己的特性、职业的特性以及社会环境。不断的提升学生的自我认知能力、管理技能、生涯决策技能以及解决问题的技能和人际交往的技能。</w:t>
            </w: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通过本课程，了解职业生涯认知，自我资源盘点、决策与行动。通过对专业就业情况、职业发展特点的学习与了解，不断培养学生的职业素质能力，实现由高中角色到大学角色的顺利转变，最终作出一份属于自己的职业发展规划书。</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ascii="宋体" w:hAnsi="宋体" w:cs="宋体"/>
                <w:b/>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7</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创业基础</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bCs/>
                <w:color w:val="FF0000"/>
                <w:szCs w:val="21"/>
              </w:rPr>
            </w:pP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bCs/>
                <w:color w:val="FF0000"/>
                <w:szCs w:val="21"/>
              </w:rPr>
            </w:pP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bCs/>
                <w:color w:val="FF0000"/>
                <w:szCs w:val="21"/>
              </w:rPr>
            </w:pP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bCs/>
                <w:color w:val="FF0000"/>
                <w:szCs w:val="21"/>
              </w:rPr>
            </w:pP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bCs/>
                <w:color w:val="FF0000"/>
                <w:szCs w:val="21"/>
              </w:rPr>
            </w:pP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b/>
                <w:color w:val="FF0000"/>
                <w:szCs w:val="21"/>
              </w:rPr>
            </w:pPr>
            <w:r>
              <w:rPr>
                <w:rFonts w:hint="eastAsia" w:ascii="宋体" w:hAnsi="宋体" w:cs="宋体"/>
                <w:bCs/>
                <w:color w:val="FF0000"/>
                <w:szCs w:val="21"/>
              </w:rPr>
              <w:t>公共必修课</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ind w:firstLine="420" w:firstLineChars="200"/>
              <w:textAlignment w:val="auto"/>
              <w:rPr>
                <w:rFonts w:ascii="宋体" w:hAnsi="宋体" w:cs="宋体"/>
                <w:color w:val="FF0000"/>
                <w:szCs w:val="21"/>
              </w:rPr>
            </w:pPr>
            <w:r>
              <w:rPr>
                <w:rFonts w:hint="eastAsia" w:ascii="宋体" w:hAnsi="宋体" w:cs="宋体"/>
                <w:color w:val="FF0000"/>
                <w:szCs w:val="21"/>
              </w:rPr>
              <w:t>通过本课程的教学，培养学生拥有创新意识，领悟创新精髓，学会创新思维，使自己的创新能力有所突破，最终实现将创新思维的精髓延伸移入自身创业实践中。</w:t>
            </w:r>
          </w:p>
          <w:p>
            <w:pPr>
              <w:keepNext w:val="0"/>
              <w:keepLines w:val="0"/>
              <w:pageBreakBefore w:val="0"/>
              <w:kinsoku/>
              <w:wordWrap/>
              <w:overflowPunct/>
              <w:topLinePunct w:val="0"/>
              <w:autoSpaceDE/>
              <w:autoSpaceDN/>
              <w:bidi w:val="0"/>
              <w:spacing w:before="156" w:beforeLines="50" w:line="400" w:lineRule="exact"/>
              <w:ind w:firstLine="420" w:firstLineChars="200"/>
              <w:textAlignment w:val="auto"/>
              <w:rPr>
                <w:rFonts w:ascii="宋体" w:hAnsi="宋体" w:cs="宋体"/>
                <w:color w:val="FF0000"/>
                <w:szCs w:val="21"/>
              </w:rPr>
            </w:pPr>
            <w:r>
              <w:rPr>
                <w:rFonts w:hint="eastAsia" w:ascii="宋体" w:hAnsi="宋体" w:cs="宋体"/>
                <w:color w:val="000000"/>
                <w:szCs w:val="21"/>
              </w:rPr>
              <w:t>培养学生的创业意识和创业精神，在学生心目中埋下一颗创业种子。</w:t>
            </w: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ind w:firstLine="420" w:firstLineChars="200"/>
              <w:textAlignment w:val="auto"/>
              <w:rPr>
                <w:rFonts w:ascii="宋体" w:hAnsi="宋体" w:cs="宋体"/>
                <w:color w:val="FF0000"/>
                <w:szCs w:val="21"/>
              </w:rPr>
            </w:pPr>
            <w:r>
              <w:rPr>
                <w:rFonts w:hint="eastAsia" w:ascii="宋体" w:hAnsi="宋体" w:cs="宋体"/>
                <w:color w:val="FF0000"/>
                <w:szCs w:val="21"/>
              </w:rPr>
              <w:t>本课程训练学生创新意识训练、发散思维训练、逆向思维训练、逻辑思维训练、聚合思维训练、管理创新思维训练、分析创新思维训练、沟通创新思维训练等训练，系统训练激发学生的创新思维能力。</w:t>
            </w:r>
          </w:p>
          <w:p>
            <w:pPr>
              <w:keepNext w:val="0"/>
              <w:keepLines w:val="0"/>
              <w:pageBreakBefore w:val="0"/>
              <w:kinsoku/>
              <w:wordWrap/>
              <w:overflowPunct/>
              <w:topLinePunct w:val="0"/>
              <w:autoSpaceDE/>
              <w:autoSpaceDN/>
              <w:bidi w:val="0"/>
              <w:spacing w:before="156" w:beforeLines="50" w:line="400" w:lineRule="exact"/>
              <w:ind w:firstLine="420" w:firstLineChars="200"/>
              <w:textAlignment w:val="auto"/>
              <w:rPr>
                <w:rFonts w:ascii="宋体" w:hAnsi="宋体" w:cs="宋体"/>
                <w:color w:val="FF0000"/>
                <w:szCs w:val="21"/>
              </w:rPr>
            </w:pPr>
            <w:r>
              <w:rPr>
                <w:rFonts w:hint="eastAsia" w:ascii="宋体" w:hAnsi="宋体" w:cs="宋体"/>
                <w:color w:val="FF0000"/>
                <w:szCs w:val="21"/>
              </w:rPr>
              <w:t>学生</w:t>
            </w:r>
            <w:r>
              <w:rPr>
                <w:rFonts w:hint="eastAsia" w:ascii="宋体" w:hAnsi="宋体" w:cs="宋体"/>
                <w:color w:val="000000"/>
                <w:szCs w:val="21"/>
              </w:rPr>
              <w:t>通过学习创业精神、创业者与创业团队、创业机会，参与创业实践，初步体会到创业的过程和乐趣，基本掌握创业的路径等。</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FF0000"/>
                <w:szCs w:val="21"/>
              </w:rPr>
            </w:pPr>
            <w:r>
              <w:rPr>
                <w:rFonts w:hint="eastAsia" w:ascii="宋体" w:hAnsi="宋体" w:cs="宋体"/>
                <w:b/>
                <w:color w:val="FF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8</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000000"/>
                <w:szCs w:val="21"/>
              </w:rPr>
              <w:t>大学生就业指导</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bCs/>
                <w:color w:val="FF0000"/>
                <w:szCs w:val="21"/>
              </w:rPr>
            </w:pPr>
            <w:r>
              <w:rPr>
                <w:rFonts w:hint="eastAsia" w:ascii="宋体" w:hAnsi="宋体" w:cs="宋体"/>
                <w:bCs/>
                <w:color w:val="FF0000"/>
                <w:szCs w:val="21"/>
              </w:rPr>
              <w:t>公共必修课</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bCs/>
                <w:color w:val="FF0000"/>
                <w:szCs w:val="21"/>
              </w:rPr>
            </w:pP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ind w:firstLine="420" w:firstLineChars="200"/>
              <w:textAlignment w:val="auto"/>
              <w:rPr>
                <w:rFonts w:ascii="宋体" w:hAnsi="宋体" w:cs="宋体"/>
                <w:color w:val="FF0000"/>
                <w:szCs w:val="21"/>
              </w:rPr>
            </w:pPr>
            <w:r>
              <w:rPr>
                <w:rFonts w:hint="eastAsia" w:ascii="宋体" w:hAnsi="宋体" w:cs="宋体"/>
                <w:color w:val="FF0000"/>
                <w:szCs w:val="21"/>
              </w:rPr>
              <w:t>帮助大学生了解国家就业形势和政策，引导大学生充分认知自我，合理调整职业预期， 树立正确的择业观，增强就业竞争意识， 掌握求职择业的基本常识和技巧，把握大学生就业市场的特点。</w:t>
            </w: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ind w:firstLine="420" w:firstLineChars="200"/>
              <w:textAlignment w:val="auto"/>
              <w:rPr>
                <w:rFonts w:ascii="宋体" w:hAnsi="宋体" w:cs="宋体"/>
                <w:color w:val="FF0000"/>
                <w:szCs w:val="21"/>
              </w:rPr>
            </w:pPr>
            <w:r>
              <w:rPr>
                <w:rFonts w:hint="eastAsia" w:ascii="宋体" w:hAnsi="宋体" w:cs="宋体"/>
                <w:color w:val="FF0000"/>
                <w:szCs w:val="21"/>
              </w:rPr>
              <w:t>了解大学生就业的现行政策及体系（国家和地方，行业和部门）；了解社会职业的基本知识；了解大学生求职择业的知识，包括求职中自我合法权益的维护。学会了解、筛选就业信息，做好就业前的简历制作、求职书等物质准备和心理准备；掌握一般的求职应聘、面试技巧；掌握一般的求职应聘、面试技巧。为顺利成为职业人奠定坚实的基础。</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FF0000"/>
                <w:szCs w:val="21"/>
              </w:rPr>
            </w:pPr>
            <w:r>
              <w:rPr>
                <w:rFonts w:hint="eastAsia" w:ascii="宋体" w:hAnsi="宋体" w:cs="宋体"/>
                <w:b/>
                <w:color w:val="FF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9</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000000"/>
                <w:szCs w:val="21"/>
              </w:rPr>
            </w:pPr>
            <w:r>
              <w:rPr>
                <w:rFonts w:hint="eastAsia" w:ascii="宋体" w:hAnsi="宋体" w:cs="宋体"/>
                <w:color w:val="000000"/>
                <w:szCs w:val="21"/>
              </w:rPr>
              <w:t>大学语文一、二</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公共基本素质课必修课，课程以中国文学史为脉络，选取了从中国古典文学到现当代文学的优秀作品，通过对作品内涵的分析，提升学生人文素养，培养学生的人文精神，激发学生文学兴趣，培养良好的阅读习惯。</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b/>
                <w:color w:val="FF0000"/>
                <w:szCs w:val="21"/>
              </w:rPr>
            </w:pP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了解中国文学的发展脉络及作家、作品的时代背景，文章的内蕴；掌握文学欣赏的基本方法。积累文化底蕴，奠定文化基础。养成良好的读书习惯和学习习惯。遵循学生的成长规律和职业需求，结合学科特点，以文化人，立德树人，引导学生深刻理解社会主义核心价值观，自觉弘扬中华优秀传统文化、革命文化、社会主义先进文化，着力培养德智体美劳全面发展的社会主义建设者和接班人。</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1</w:t>
            </w:r>
            <w:r>
              <w:rPr>
                <w:rFonts w:ascii="宋体" w:hAnsi="宋体" w:cs="宋体"/>
                <w:color w:val="FF0000"/>
                <w:szCs w:val="21"/>
              </w:rPr>
              <w:t>.</w:t>
            </w:r>
            <w:r>
              <w:rPr>
                <w:rFonts w:hint="eastAsia" w:ascii="宋体" w:hAnsi="宋体" w:cs="宋体"/>
                <w:color w:val="FF0000"/>
                <w:szCs w:val="21"/>
              </w:rPr>
              <w:t>课程</w:t>
            </w:r>
            <w:r>
              <w:rPr>
                <w:rFonts w:ascii="宋体" w:hAnsi="宋体" w:cs="宋体"/>
                <w:color w:val="FF0000"/>
                <w:szCs w:val="21"/>
              </w:rPr>
              <w:t>概述</w:t>
            </w:r>
            <w:r>
              <w:rPr>
                <w:rFonts w:hint="eastAsia" w:ascii="宋体" w:hAnsi="宋体" w:cs="宋体"/>
                <w:color w:val="FF0000"/>
                <w:szCs w:val="21"/>
              </w:rPr>
              <w:t>、</w:t>
            </w:r>
            <w:r>
              <w:rPr>
                <w:rFonts w:ascii="宋体" w:hAnsi="宋体" w:cs="宋体"/>
                <w:color w:val="FF0000"/>
                <w:szCs w:val="21"/>
              </w:rPr>
              <w:t>普通话概述</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2</w:t>
            </w:r>
            <w:r>
              <w:rPr>
                <w:rFonts w:ascii="宋体" w:hAnsi="宋体" w:cs="宋体"/>
                <w:color w:val="FF0000"/>
                <w:szCs w:val="21"/>
              </w:rPr>
              <w:t>.</w:t>
            </w:r>
            <w:r>
              <w:rPr>
                <w:rFonts w:hint="eastAsia" w:ascii="宋体" w:hAnsi="宋体" w:cs="宋体"/>
                <w:color w:val="FF0000"/>
                <w:szCs w:val="21"/>
              </w:rPr>
              <w:t>诗经</w:t>
            </w:r>
            <w:r>
              <w:rPr>
                <w:rFonts w:ascii="宋体" w:hAnsi="宋体" w:cs="宋体"/>
                <w:color w:val="FF0000"/>
                <w:szCs w:val="21"/>
              </w:rPr>
              <w:t>、楚辞</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3</w:t>
            </w:r>
            <w:r>
              <w:rPr>
                <w:rFonts w:ascii="宋体" w:hAnsi="宋体" w:cs="宋体"/>
                <w:color w:val="FF0000"/>
                <w:szCs w:val="21"/>
              </w:rPr>
              <w:t>.</w:t>
            </w:r>
            <w:r>
              <w:rPr>
                <w:rFonts w:hint="eastAsia" w:ascii="宋体" w:hAnsi="宋体" w:cs="宋体"/>
                <w:color w:val="FF0000"/>
                <w:szCs w:val="21"/>
              </w:rPr>
              <w:t>先秦散文</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4</w:t>
            </w:r>
            <w:r>
              <w:rPr>
                <w:rFonts w:ascii="宋体" w:hAnsi="宋体" w:cs="宋体"/>
                <w:color w:val="FF0000"/>
                <w:szCs w:val="21"/>
              </w:rPr>
              <w:t>.</w:t>
            </w:r>
            <w:r>
              <w:rPr>
                <w:rFonts w:hint="eastAsia" w:ascii="宋体" w:hAnsi="宋体" w:cs="宋体"/>
                <w:color w:val="FF0000"/>
                <w:szCs w:val="21"/>
              </w:rPr>
              <w:t>秦汉文、汉魏晋六朝文</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5</w:t>
            </w:r>
            <w:r>
              <w:rPr>
                <w:rFonts w:ascii="宋体" w:hAnsi="宋体" w:cs="宋体"/>
                <w:color w:val="FF0000"/>
                <w:szCs w:val="21"/>
              </w:rPr>
              <w:t>.</w:t>
            </w:r>
            <w:r>
              <w:rPr>
                <w:rFonts w:hint="eastAsia" w:ascii="宋体" w:hAnsi="宋体" w:cs="宋体"/>
                <w:color w:val="FF0000"/>
                <w:szCs w:val="21"/>
              </w:rPr>
              <w:t>李白、杜甫</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6</w:t>
            </w:r>
            <w:r>
              <w:rPr>
                <w:rFonts w:ascii="宋体" w:hAnsi="宋体" w:cs="宋体"/>
                <w:color w:val="FF0000"/>
                <w:szCs w:val="21"/>
              </w:rPr>
              <w:t>.</w:t>
            </w:r>
            <w:r>
              <w:rPr>
                <w:rFonts w:hint="eastAsia" w:ascii="宋体" w:hAnsi="宋体" w:cs="宋体"/>
                <w:color w:val="FF0000"/>
                <w:szCs w:val="21"/>
              </w:rPr>
              <w:t>中唐诗</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7</w:t>
            </w:r>
            <w:r>
              <w:rPr>
                <w:rFonts w:ascii="宋体" w:hAnsi="宋体" w:cs="宋体"/>
                <w:color w:val="FF0000"/>
                <w:szCs w:val="21"/>
              </w:rPr>
              <w:t>.</w:t>
            </w:r>
            <w:r>
              <w:rPr>
                <w:rFonts w:hint="eastAsia" w:ascii="宋体" w:hAnsi="宋体" w:cs="宋体"/>
                <w:color w:val="FF0000"/>
                <w:szCs w:val="21"/>
              </w:rPr>
              <w:t>晚唐诗</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8</w:t>
            </w:r>
            <w:r>
              <w:rPr>
                <w:rFonts w:ascii="宋体" w:hAnsi="宋体" w:cs="宋体"/>
                <w:color w:val="FF0000"/>
                <w:szCs w:val="21"/>
              </w:rPr>
              <w:t>.</w:t>
            </w:r>
            <w:r>
              <w:rPr>
                <w:rFonts w:hint="eastAsia" w:ascii="宋体" w:hAnsi="宋体" w:cs="宋体"/>
                <w:color w:val="FF0000"/>
                <w:szCs w:val="21"/>
              </w:rPr>
              <w:t>课程</w:t>
            </w:r>
            <w:r>
              <w:rPr>
                <w:rFonts w:ascii="宋体" w:hAnsi="宋体" w:cs="宋体"/>
                <w:color w:val="FF0000"/>
                <w:szCs w:val="21"/>
              </w:rPr>
              <w:t>概述、应用文写作概述</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9</w:t>
            </w:r>
            <w:r>
              <w:rPr>
                <w:rFonts w:ascii="宋体" w:hAnsi="宋体" w:cs="宋体"/>
                <w:color w:val="FF0000"/>
                <w:szCs w:val="21"/>
              </w:rPr>
              <w:t>.</w:t>
            </w:r>
            <w:r>
              <w:rPr>
                <w:rFonts w:hint="eastAsia" w:ascii="宋体" w:hAnsi="宋体" w:cs="宋体"/>
                <w:color w:val="FF0000"/>
                <w:szCs w:val="21"/>
              </w:rPr>
              <w:t>北宋词</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1</w:t>
            </w:r>
            <w:r>
              <w:rPr>
                <w:rFonts w:ascii="宋体" w:hAnsi="宋体" w:cs="宋体"/>
                <w:color w:val="FF0000"/>
                <w:szCs w:val="21"/>
              </w:rPr>
              <w:t>0.</w:t>
            </w:r>
            <w:r>
              <w:rPr>
                <w:rFonts w:hint="eastAsia" w:ascii="宋体" w:hAnsi="宋体" w:cs="宋体"/>
                <w:color w:val="FF0000"/>
                <w:szCs w:val="21"/>
              </w:rPr>
              <w:t>古代戏曲</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1</w:t>
            </w:r>
            <w:r>
              <w:rPr>
                <w:rFonts w:ascii="宋体" w:hAnsi="宋体" w:cs="宋体"/>
                <w:color w:val="FF0000"/>
                <w:szCs w:val="21"/>
              </w:rPr>
              <w:t>1.</w:t>
            </w:r>
            <w:r>
              <w:rPr>
                <w:rFonts w:hint="eastAsia" w:ascii="宋体" w:hAnsi="宋体" w:cs="宋体"/>
                <w:color w:val="FF0000"/>
                <w:szCs w:val="21"/>
              </w:rPr>
              <w:t>古代文言小说</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1</w:t>
            </w:r>
            <w:r>
              <w:rPr>
                <w:rFonts w:ascii="宋体" w:hAnsi="宋体" w:cs="宋体"/>
                <w:color w:val="FF0000"/>
                <w:szCs w:val="21"/>
              </w:rPr>
              <w:t>2.</w:t>
            </w:r>
            <w:r>
              <w:rPr>
                <w:rFonts w:hint="eastAsia" w:ascii="宋体" w:hAnsi="宋体" w:cs="宋体"/>
                <w:color w:val="FF0000"/>
                <w:szCs w:val="21"/>
              </w:rPr>
              <w:t>现代小说（上）</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1</w:t>
            </w:r>
            <w:r>
              <w:rPr>
                <w:rFonts w:ascii="宋体" w:hAnsi="宋体" w:cs="宋体"/>
                <w:color w:val="FF0000"/>
                <w:szCs w:val="21"/>
              </w:rPr>
              <w:t>3.</w:t>
            </w:r>
            <w:r>
              <w:rPr>
                <w:rFonts w:hint="eastAsia" w:ascii="宋体" w:hAnsi="宋体" w:cs="宋体"/>
                <w:color w:val="FF0000"/>
                <w:szCs w:val="21"/>
              </w:rPr>
              <w:t>现代小说（下）</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1</w:t>
            </w:r>
            <w:r>
              <w:rPr>
                <w:rFonts w:ascii="宋体" w:hAnsi="宋体" w:cs="宋体"/>
                <w:color w:val="FF0000"/>
                <w:szCs w:val="21"/>
              </w:rPr>
              <w:t>4.</w:t>
            </w:r>
            <w:r>
              <w:rPr>
                <w:rFonts w:hint="eastAsia" w:ascii="宋体" w:hAnsi="宋体" w:cs="宋体"/>
                <w:color w:val="FF0000"/>
                <w:szCs w:val="21"/>
              </w:rPr>
              <w:t>现代诗歌</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在学习任务书的引领下完成线上课程观看，记录慕课视频学习笔记，掌握相关作品的基本文学常识；在面授课程中深入分析作品内涵，进行人文精神培养。</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10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000000"/>
                <w:szCs w:val="21"/>
              </w:rPr>
            </w:pPr>
            <w:r>
              <w:rPr>
                <w:rFonts w:hint="eastAsia" w:ascii="宋体" w:hAnsi="宋体" w:cs="宋体"/>
                <w:color w:val="000000"/>
                <w:szCs w:val="21"/>
              </w:rPr>
              <w:t>体育与健康一、二、三、四</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b/>
                <w:color w:val="FF0000"/>
                <w:szCs w:val="21"/>
              </w:rPr>
            </w:pPr>
            <w:r>
              <w:rPr>
                <w:rFonts w:hint="eastAsia" w:ascii="宋体" w:hAnsi="宋体" w:cs="宋体"/>
                <w:color w:val="FF0000"/>
                <w:kern w:val="0"/>
                <w:szCs w:val="21"/>
              </w:rPr>
              <w:t>体育与健康</w:t>
            </w:r>
            <w:r>
              <w:rPr>
                <w:rFonts w:ascii="宋体" w:hAnsi="宋体" w:cs="宋体"/>
                <w:color w:val="FF0000"/>
                <w:kern w:val="0"/>
                <w:szCs w:val="21"/>
              </w:rPr>
              <w:t>课程</w:t>
            </w:r>
            <w:r>
              <w:rPr>
                <w:rFonts w:hint="eastAsia" w:ascii="宋体" w:hAnsi="宋体" w:cs="宋体"/>
                <w:color w:val="FF0000"/>
                <w:kern w:val="0"/>
                <w:szCs w:val="21"/>
              </w:rPr>
              <w:t>是公共基本素质必修课，</w:t>
            </w:r>
            <w:r>
              <w:rPr>
                <w:rFonts w:ascii="宋体" w:hAnsi="宋体" w:cs="宋体"/>
                <w:color w:val="FF0000"/>
                <w:kern w:val="0"/>
                <w:szCs w:val="21"/>
              </w:rPr>
              <w:t>是以身体练习为主要手段，通过</w:t>
            </w:r>
            <w:r>
              <w:rPr>
                <w:rFonts w:hint="eastAsia" w:ascii="宋体" w:hAnsi="宋体" w:cs="宋体"/>
                <w:color w:val="FF0000"/>
                <w:kern w:val="0"/>
                <w:szCs w:val="21"/>
              </w:rPr>
              <w:t>体育与健康</w:t>
            </w:r>
            <w:r>
              <w:rPr>
                <w:rFonts w:ascii="宋体" w:hAnsi="宋体" w:cs="宋体"/>
                <w:color w:val="FF0000"/>
                <w:kern w:val="0"/>
                <w:szCs w:val="21"/>
              </w:rPr>
              <w:t>课教学，使学生对</w:t>
            </w:r>
            <w:r>
              <w:rPr>
                <w:rFonts w:hint="eastAsia" w:ascii="宋体" w:hAnsi="宋体" w:cs="宋体"/>
                <w:color w:val="FF0000"/>
                <w:kern w:val="0"/>
                <w:szCs w:val="21"/>
              </w:rPr>
              <w:t>体育与健康</w:t>
            </w:r>
            <w:r>
              <w:rPr>
                <w:rFonts w:ascii="宋体" w:hAnsi="宋体" w:cs="宋体"/>
                <w:color w:val="FF0000"/>
                <w:kern w:val="0"/>
                <w:szCs w:val="21"/>
              </w:rPr>
              <w:t>知识、技术、技能及体育教育和科学的体育锻炼方法有进一步的了解和掌握，达到增强体质、增进健康和提高体育素养为主要目标的基础课程之一，它是学校教学课程体系的重要组成部分</w:t>
            </w:r>
            <w:r>
              <w:rPr>
                <w:rFonts w:hint="eastAsia" w:ascii="宋体" w:hAnsi="宋体" w:cs="宋体"/>
                <w:color w:val="FF0000"/>
                <w:kern w:val="0"/>
                <w:szCs w:val="21"/>
              </w:rPr>
              <w:t>。</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kern w:val="0"/>
                <w:szCs w:val="21"/>
              </w:rPr>
            </w:pPr>
            <w:r>
              <w:rPr>
                <w:rFonts w:hint="eastAsia" w:ascii="宋体" w:hAnsi="宋体" w:cs="宋体"/>
                <w:color w:val="000000"/>
                <w:kern w:val="0"/>
                <w:szCs w:val="21"/>
              </w:rPr>
              <w:t>使学生了解体育运动的基本知识，学习体育的基本规则及运动形式，提高学生身体素质，增强体质，了解体育运动的基本技术、战术，使学生能够熟练地运用。</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cs="宋体"/>
                <w:color w:val="000000"/>
                <w:szCs w:val="21"/>
              </w:rPr>
            </w:pP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rFonts w:ascii="宋体" w:hAnsi="宋体" w:cs="宋体"/>
                <w:bCs/>
                <w:color w:val="000000"/>
                <w:szCs w:val="21"/>
              </w:rPr>
            </w:pPr>
            <w:r>
              <w:rPr>
                <w:rFonts w:hint="eastAsia" w:ascii="宋体" w:hAnsi="宋体" w:cs="宋体"/>
                <w:bCs/>
                <w:color w:val="000000"/>
                <w:szCs w:val="21"/>
              </w:rPr>
              <w:t>1.第一、二学期：以体能和体育基本知识为主的基础体育课</w:t>
            </w:r>
          </w:p>
          <w:p>
            <w:pPr>
              <w:keepNext w:val="0"/>
              <w:keepLines w:val="0"/>
              <w:pageBreakBefore w:val="0"/>
              <w:kinsoku/>
              <w:wordWrap/>
              <w:overflowPunct/>
              <w:topLinePunct w:val="0"/>
              <w:autoSpaceDE/>
              <w:autoSpaceDN/>
              <w:bidi w:val="0"/>
              <w:spacing w:line="400" w:lineRule="exact"/>
              <w:textAlignment w:val="auto"/>
              <w:rPr>
                <w:rFonts w:ascii="宋体" w:hAnsi="宋体" w:cs="宋体"/>
                <w:bCs/>
                <w:color w:val="000000"/>
                <w:szCs w:val="21"/>
              </w:rPr>
            </w:pPr>
            <w:r>
              <w:rPr>
                <w:rFonts w:hint="eastAsia" w:ascii="宋体" w:hAnsi="宋体" w:cs="宋体"/>
                <w:bCs/>
                <w:color w:val="000000"/>
                <w:szCs w:val="21"/>
              </w:rPr>
              <w:t>2.第三、四学期：以篮球、排球、足球、乒乓球、健美操、羽毛球、形体和太极拳的理论与实践为主的选项课。</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000000"/>
                <w:szCs w:val="21"/>
              </w:rPr>
            </w:pPr>
            <w:r>
              <w:rPr>
                <w:rFonts w:hint="eastAsia" w:ascii="宋体" w:hAnsi="宋体" w:cs="宋体"/>
                <w:bCs/>
                <w:color w:val="000000"/>
                <w:szCs w:val="21"/>
              </w:rPr>
              <w:t>要求：</w:t>
            </w:r>
            <w:r>
              <w:rPr>
                <w:rFonts w:ascii="宋体" w:hAnsi="宋体" w:cs="宋体"/>
                <w:color w:val="000000"/>
                <w:kern w:val="0"/>
                <w:szCs w:val="21"/>
                <w:lang w:bidi="ar"/>
              </w:rPr>
              <w:t>通过体育课的学习，</w:t>
            </w:r>
            <w:r>
              <w:rPr>
                <w:rFonts w:hint="eastAsia" w:ascii="宋体" w:hAnsi="宋体" w:cs="宋体"/>
                <w:color w:val="000000"/>
                <w:kern w:val="0"/>
                <w:szCs w:val="21"/>
                <w:lang w:bidi="ar"/>
              </w:rPr>
              <w:t>使</w:t>
            </w:r>
            <w:r>
              <w:rPr>
                <w:rFonts w:ascii="宋体" w:hAnsi="宋体" w:cs="宋体"/>
                <w:color w:val="000000"/>
                <w:kern w:val="0"/>
                <w:szCs w:val="21"/>
                <w:lang w:bidi="ar"/>
              </w:rPr>
              <w:t>学生</w:t>
            </w:r>
            <w:r>
              <w:rPr>
                <w:rFonts w:hint="eastAsia" w:ascii="宋体" w:hAnsi="宋体" w:cs="宋体"/>
                <w:color w:val="000000"/>
                <w:kern w:val="0"/>
                <w:szCs w:val="21"/>
                <w:lang w:bidi="ar"/>
              </w:rPr>
              <w:t>逐渐</w:t>
            </w:r>
            <w:r>
              <w:rPr>
                <w:rFonts w:ascii="宋体" w:hAnsi="宋体" w:cs="宋体"/>
                <w:color w:val="000000"/>
                <w:kern w:val="0"/>
                <w:szCs w:val="21"/>
                <w:lang w:bidi="ar"/>
              </w:rPr>
              <w:t>掌握和应用基本的体育知识和运动技能；培养运动的兴趣和爱好，</w:t>
            </w:r>
            <w:r>
              <w:rPr>
                <w:rFonts w:hint="eastAsia" w:ascii="宋体" w:hAnsi="宋体" w:cs="宋体"/>
                <w:color w:val="000000"/>
                <w:kern w:val="0"/>
                <w:szCs w:val="21"/>
                <w:lang w:bidi="ar"/>
              </w:rPr>
              <w:t>享受运动的乐趣，</w:t>
            </w:r>
            <w:r>
              <w:rPr>
                <w:rFonts w:ascii="宋体" w:hAnsi="宋体" w:cs="宋体"/>
                <w:color w:val="000000"/>
                <w:kern w:val="0"/>
                <w:szCs w:val="21"/>
                <w:lang w:bidi="ar"/>
              </w:rPr>
              <w:t>形成坚持锻炼的习惯</w:t>
            </w:r>
            <w:r>
              <w:rPr>
                <w:rFonts w:hint="eastAsia" w:ascii="宋体" w:hAnsi="宋体" w:cs="宋体"/>
                <w:color w:val="000000"/>
                <w:kern w:val="0"/>
                <w:szCs w:val="21"/>
                <w:lang w:bidi="ar"/>
              </w:rPr>
              <w:t>，不断增强体质</w:t>
            </w:r>
            <w:r>
              <w:rPr>
                <w:rFonts w:ascii="宋体" w:hAnsi="宋体" w:cs="宋体"/>
                <w:color w:val="000000"/>
                <w:kern w:val="0"/>
                <w:szCs w:val="21"/>
                <w:lang w:bidi="ar"/>
              </w:rPr>
              <w:t>；具有良好的心理品质，表现出人际交往的能力与合作精神</w:t>
            </w:r>
            <w:r>
              <w:rPr>
                <w:rFonts w:hint="eastAsia" w:ascii="宋体" w:hAnsi="宋体" w:cs="宋体"/>
                <w:color w:val="000000"/>
                <w:kern w:val="0"/>
                <w:szCs w:val="21"/>
                <w:lang w:bidi="ar"/>
              </w:rPr>
              <w:t>，健全人格</w:t>
            </w:r>
            <w:r>
              <w:rPr>
                <w:rFonts w:ascii="宋体" w:hAnsi="宋体" w:cs="宋体"/>
                <w:color w:val="000000"/>
                <w:kern w:val="0"/>
                <w:szCs w:val="21"/>
                <w:lang w:bidi="ar"/>
              </w:rPr>
              <w:t>；提高对个人健康和群体健康的责任感，形成健康的生活方式；发扬体育精神，形成积极进取、乐观开朗的生活态度</w:t>
            </w:r>
            <w:r>
              <w:rPr>
                <w:rFonts w:hint="eastAsia" w:ascii="宋体" w:hAnsi="宋体" w:cs="宋体"/>
                <w:color w:val="000000"/>
                <w:kern w:val="0"/>
                <w:szCs w:val="21"/>
                <w:lang w:bidi="ar"/>
              </w:rPr>
              <w:t>，锤炼意志</w:t>
            </w:r>
            <w:r>
              <w:rPr>
                <w:rFonts w:ascii="宋体" w:hAnsi="宋体" w:cs="宋体"/>
                <w:color w:val="000000"/>
                <w:kern w:val="0"/>
                <w:szCs w:val="21"/>
                <w:lang w:bidi="ar"/>
              </w:rPr>
              <w:t>；提高与专业特点相适应的体育素养。</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11</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000000"/>
                <w:szCs w:val="21"/>
              </w:rPr>
            </w:pPr>
            <w:r>
              <w:rPr>
                <w:rFonts w:hint="eastAsia" w:ascii="宋体" w:hAnsi="宋体" w:cs="宋体"/>
                <w:color w:val="000000"/>
                <w:szCs w:val="21"/>
              </w:rPr>
              <w:t>大学英语一、二</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hint="eastAsia" w:ascii="宋体" w:hAnsi="宋体" w:cs="宋体"/>
                <w:color w:val="FF0000"/>
                <w:kern w:val="0"/>
                <w:szCs w:val="21"/>
              </w:rPr>
              <w:t>《大学英语》公共基本素质必修课，是各专业行业英语学习的基础，也是培养学生跨文化、跨语言交际能力，提升学生人文素质和正确价值观和世界观的一门必修课或者限定选修课。</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hint="eastAsia" w:ascii="宋体" w:hAnsi="宋体" w:cs="宋体"/>
                <w:color w:val="FF0000"/>
                <w:kern w:val="0"/>
                <w:szCs w:val="21"/>
              </w:rPr>
              <w:t>通过120学时的学习，使学生掌握必需的、实用的英语基础知识和基本技能。课程目标应以提升学生的英语语言综合应用能力、人文素养、国际意识、国际合作与交流能力为导向，以语言应用为目的, 以语言工具， 培养学生熟练、有效地运用英语进行日常、工作中的听说读写译活动，能借助字典处理英文文字资料，较好地进行涉外交流业务，为培养服务、管理等一线的高端技能型专门人才服务。</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ascii="宋体" w:hAnsi="宋体" w:cs="宋体"/>
                <w:color w:val="FF0000"/>
                <w:kern w:val="0"/>
                <w:szCs w:val="21"/>
              </w:rPr>
              <w:t>1.</w:t>
            </w:r>
            <w:r>
              <w:rPr>
                <w:rFonts w:hint="eastAsia" w:ascii="宋体" w:hAnsi="宋体" w:cs="宋体"/>
                <w:color w:val="FF0000"/>
                <w:kern w:val="0"/>
                <w:szCs w:val="21"/>
              </w:rPr>
              <w:t>问候、感谢、拒绝、说再见的相关用语。</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ascii="宋体" w:hAnsi="宋体" w:cs="宋体"/>
                <w:color w:val="FF0000"/>
                <w:kern w:val="0"/>
                <w:szCs w:val="21"/>
              </w:rPr>
              <w:t>2.</w:t>
            </w:r>
            <w:r>
              <w:rPr>
                <w:rFonts w:hint="eastAsia" w:ascii="宋体" w:hAnsi="宋体" w:cs="宋体"/>
                <w:color w:val="FF0000"/>
                <w:kern w:val="0"/>
                <w:szCs w:val="21"/>
              </w:rPr>
              <w:t>指路、守时、文化差异等用语。</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ascii="宋体" w:hAnsi="宋体" w:cs="宋体"/>
                <w:color w:val="FF0000"/>
                <w:kern w:val="0"/>
                <w:szCs w:val="21"/>
              </w:rPr>
              <w:t>3.</w:t>
            </w:r>
            <w:r>
              <w:rPr>
                <w:rFonts w:hint="eastAsia" w:ascii="宋体" w:hAnsi="宋体" w:cs="宋体"/>
                <w:color w:val="FF0000"/>
                <w:kern w:val="0"/>
                <w:szCs w:val="21"/>
              </w:rPr>
              <w:t>谈论天气、体育运动、节假日等用语。</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ascii="宋体" w:hAnsi="宋体" w:cs="宋体"/>
                <w:color w:val="FF0000"/>
                <w:kern w:val="0"/>
                <w:szCs w:val="21"/>
              </w:rPr>
              <w:t>4.</w:t>
            </w:r>
            <w:r>
              <w:rPr>
                <w:rFonts w:hint="eastAsia" w:ascii="宋体" w:hAnsi="宋体" w:cs="宋体"/>
                <w:color w:val="FF0000"/>
                <w:kern w:val="0"/>
                <w:szCs w:val="21"/>
              </w:rPr>
              <w:t>邀请、电子邮件、电话用语、饮食、酒店服务用语。</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ascii="宋体" w:hAnsi="宋体" w:cs="宋体"/>
                <w:color w:val="FF0000"/>
                <w:kern w:val="0"/>
                <w:szCs w:val="21"/>
              </w:rPr>
              <w:t>5.</w:t>
            </w:r>
            <w:r>
              <w:rPr>
                <w:rFonts w:hint="eastAsia" w:ascii="宋体" w:hAnsi="宋体" w:cs="宋体"/>
                <w:color w:val="FF0000"/>
                <w:kern w:val="0"/>
                <w:szCs w:val="21"/>
              </w:rPr>
              <w:t>购物、旅游、应聘工作等用语。</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ascii="宋体" w:hAnsi="宋体" w:cs="宋体"/>
                <w:color w:val="FF0000"/>
                <w:kern w:val="0"/>
                <w:szCs w:val="21"/>
              </w:rPr>
              <w:t>6.</w:t>
            </w:r>
            <w:r>
              <w:rPr>
                <w:rFonts w:hint="eastAsia" w:ascii="宋体" w:hAnsi="宋体" w:cs="宋体"/>
                <w:color w:val="FF0000"/>
                <w:kern w:val="0"/>
                <w:szCs w:val="21"/>
              </w:rPr>
              <w:t>介绍、工作、建议等用语。</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ascii="宋体" w:hAnsi="宋体" w:cs="宋体"/>
                <w:color w:val="FF0000"/>
                <w:kern w:val="0"/>
                <w:szCs w:val="21"/>
              </w:rPr>
              <w:t>7.</w:t>
            </w:r>
            <w:r>
              <w:rPr>
                <w:rFonts w:hint="eastAsia" w:ascii="宋体" w:hAnsi="宋体" w:cs="宋体"/>
                <w:color w:val="FF0000"/>
                <w:kern w:val="0"/>
                <w:szCs w:val="21"/>
              </w:rPr>
              <w:t>6种基本时态以及动词词尾变化规则、两种语态的不同使用情景以及词尾变化规则。</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ascii="宋体" w:hAnsi="宋体" w:cs="宋体"/>
                <w:color w:val="FF0000"/>
                <w:kern w:val="0"/>
                <w:szCs w:val="21"/>
              </w:rPr>
              <w:t>8.</w:t>
            </w:r>
            <w:r>
              <w:rPr>
                <w:rFonts w:hint="eastAsia" w:ascii="宋体" w:hAnsi="宋体" w:cs="宋体"/>
                <w:color w:val="FF0000"/>
                <w:kern w:val="0"/>
                <w:szCs w:val="21"/>
              </w:rPr>
              <w:t>频率副词、介词，人称等基本语法项目。</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hint="eastAsia" w:ascii="宋体" w:hAnsi="宋体" w:cs="宋体"/>
                <w:color w:val="FF0000"/>
                <w:kern w:val="0"/>
                <w:szCs w:val="21"/>
              </w:rPr>
              <w:t>9</w:t>
            </w:r>
            <w:r>
              <w:rPr>
                <w:rFonts w:ascii="宋体" w:hAnsi="宋体" w:cs="宋体"/>
                <w:color w:val="FF0000"/>
                <w:kern w:val="0"/>
                <w:szCs w:val="21"/>
              </w:rPr>
              <w:t>.</w:t>
            </w:r>
            <w:r>
              <w:rPr>
                <w:rFonts w:hint="eastAsia" w:ascii="宋体" w:hAnsi="宋体" w:cs="宋体"/>
                <w:color w:val="FF0000"/>
                <w:kern w:val="0"/>
                <w:szCs w:val="21"/>
              </w:rPr>
              <w:t>邀请函、假条、通知、简历、日程表、投诉信、电子邮件等相关应用文的格式、固定用语、结束语等内容。</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r>
              <w:rPr>
                <w:rFonts w:ascii="宋体" w:hAnsi="宋体" w:cs="宋体"/>
                <w:color w:val="FF0000"/>
                <w:kern w:val="0"/>
                <w:szCs w:val="21"/>
              </w:rPr>
              <w:t>10.</w:t>
            </w:r>
            <w:r>
              <w:rPr>
                <w:rFonts w:hint="eastAsia" w:ascii="宋体" w:hAnsi="宋体" w:cs="宋体"/>
                <w:color w:val="FF0000"/>
                <w:kern w:val="0"/>
                <w:szCs w:val="21"/>
              </w:rPr>
              <w:t>A、B级、四级真题题型、分值介绍、解题技巧、解题思路讲解、重点词汇等相关内容。</w:t>
            </w:r>
          </w:p>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kern w:val="0"/>
                <w:szCs w:val="21"/>
              </w:rPr>
            </w:pPr>
          </w:p>
          <w:p>
            <w:pPr>
              <w:keepNext w:val="0"/>
              <w:keepLines w:val="0"/>
              <w:pageBreakBefore w:val="0"/>
              <w:numPr>
                <w:ilvl w:val="0"/>
                <w:numId w:val="3"/>
              </w:numPr>
              <w:kinsoku/>
              <w:wordWrap/>
              <w:overflowPunct/>
              <w:topLinePunct w:val="0"/>
              <w:autoSpaceDE/>
              <w:autoSpaceDN/>
              <w:bidi w:val="0"/>
              <w:spacing w:line="400" w:lineRule="exact"/>
              <w:ind w:left="0"/>
              <w:textAlignment w:val="auto"/>
              <w:rPr>
                <w:rFonts w:ascii="宋体" w:hAnsi="宋体" w:cs="宋体"/>
                <w:color w:val="FF0000"/>
                <w:kern w:val="0"/>
                <w:szCs w:val="21"/>
              </w:rPr>
            </w:pPr>
            <w:r>
              <w:rPr>
                <w:rFonts w:hint="eastAsia" w:ascii="宋体" w:hAnsi="宋体" w:cs="宋体"/>
                <w:color w:val="FF0000"/>
                <w:kern w:val="0"/>
                <w:szCs w:val="21"/>
              </w:rPr>
              <w:t>掌握2400-3000的词汇量，能够顺利掌握并运用工作生活中关于问候、指路、谈论天气等日常用语，并且能够运用这些常用语，完成沟通和交流；通过对词汇、词组、短句、长句、短对话、长对话到简单语篇的循序渐进地训练，使学生能听懂简单的对话和语篇，理解大意，完成沟通；能顺利阅读、翻译简单的一般性题材的文章，掌握中心大意，并能进行分析、推理、判断和领会作者的观点和态度，领会文章大意；掌握假条、邀请函、简历、通知等英语应用文写作的格式、常用句型，并能根据要求，完成应用文写作。</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000000"/>
                <w:szCs w:val="21"/>
              </w:rPr>
            </w:pPr>
            <w:r>
              <w:rPr>
                <w:rFonts w:hint="eastAsia" w:ascii="宋体" w:hAnsi="宋体" w:cs="宋体"/>
                <w:b/>
                <w:color w:val="000000"/>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12</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color w:val="FF0000"/>
                <w:szCs w:val="21"/>
              </w:rPr>
            </w:pPr>
            <w:r>
              <w:rPr>
                <w:rFonts w:hint="eastAsia" w:ascii="宋体" w:hAnsi="宋体" w:cs="宋体"/>
                <w:color w:val="FF0000"/>
                <w:szCs w:val="21"/>
              </w:rPr>
              <w:t>礼仪一、二</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bCs/>
                <w:color w:val="FF0000"/>
                <w:szCs w:val="21"/>
              </w:rPr>
            </w:pPr>
            <w:r>
              <w:rPr>
                <w:rFonts w:hint="eastAsia" w:ascii="宋体" w:hAnsi="宋体" w:cs="宋体"/>
                <w:bCs/>
                <w:color w:val="FF0000"/>
                <w:szCs w:val="21"/>
              </w:rPr>
              <w:t>公共基本素质必修课。主要以“礼”文化为贯穿主线，日常社交和服务工作中涉及的礼仪基本规范为主要内容，使学生了解并熟练掌握社交礼仪和服务礼仪，从而体现学生良好的精神风貌。作为高职德育与美育的外显性课程，提升学生服务行业职业素养。</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ascii="宋体" w:hAnsi="宋体" w:cs="宋体"/>
                <w:color w:val="000000"/>
                <w:szCs w:val="21"/>
              </w:rPr>
              <w:t>掌握服务过程中礼仪的基本原则和规范，并能够正确运用所学的礼仪知识，使学生掌握仪容仪表、身体姿态、社交礼仪的基本理论知识。从而进一步提高学生在生活中的礼仪素养。通过礼文化的灌输，使学生具备良好的意志品质和道德；通过实操训练提升高职学生的精神风貌，给人留下良好的第一印象。</w:t>
            </w: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1.礼仪的概述</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2.个人形象礼仪</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3.外显表达实训</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4.社交基础知识</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5.社交沟通实训</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6.服务接待礼仪基础知识点</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7.职场礼仪实训；</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8.综合实训</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主要学习内容与要求：</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FF0000"/>
                <w:szCs w:val="21"/>
              </w:rPr>
            </w:pPr>
            <w:r>
              <w:rPr>
                <w:rFonts w:hint="eastAsia" w:ascii="宋体" w:hAnsi="宋体" w:cs="宋体"/>
                <w:color w:val="FF0000"/>
                <w:szCs w:val="21"/>
              </w:rPr>
              <w:t>了解中西方礼仪的差别、学会用中国传统礼仪的核心内涵去践行现代礼仪规范；掌握日常环境、工作环境对发型、仪容、服饰搭配的要求；掌握标准的身姿要领；能够熟练运用职业性微笑和柔和的眼神与人打招呼；用正确的体态语表达自己的想法；掌握服务工作中的介绍顺序和语言、握手的顺序及姿势、交换名片的顺序、使用名片的注意事项。熟练运用服务岗位礼仪要点，能够将礼仪行为规范能够融入生活，提升对礼仪的认知心态。</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b/>
                <w:color w:val="FF0000"/>
                <w:szCs w:val="21"/>
              </w:rPr>
            </w:pPr>
            <w:r>
              <w:rPr>
                <w:rFonts w:ascii="宋体" w:hAnsi="宋体" w:cs="宋体"/>
                <w:b/>
                <w:color w:val="FF0000"/>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13</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计算机应用基础</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必修考试课</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本课程以Windows 7及Microsoft Office 2010为平台，采用项目式教学模式，以项目和任务引领教学内容，强调理论与实践相结合，突出对学生基本技能、实际操作能力及职业能力的培养。</w:t>
            </w: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《计算机应用基础》是我院各个专业共同开设的公共基础课。本课程由6个项目构成，分别为认识计算机、操作系统应用、Word应用、Excel应用、PowerPoint应用和信息技术应用。</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通过完成6个项目中的任务，学生可以掌握计算机应用的基本技能：正确使用和维护计算机；管理计算机资源；能以Office办公软件为工具，熟练地将日常工作和生活的相关内容以电子文档、电子表格、演示文稿等形式清晰地表达出来，并能设计出丰富多彩的电子作品；同时具备支撑专业学习的能力，综合运用信息技术解决问题。</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color w:val="FF0000"/>
              </w:rPr>
            </w:pPr>
            <w:r>
              <w:rPr>
                <w:rFonts w:hint="eastAsia"/>
                <w:color w:val="FF000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大学生</w:t>
            </w:r>
            <w:r>
              <w:rPr>
                <w:rFonts w:ascii="宋体" w:hAnsi="宋体" w:cs="宋体"/>
                <w:color w:val="000000"/>
                <w:szCs w:val="21"/>
              </w:rPr>
              <w:t>安全教育</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公共</w:t>
            </w:r>
            <w:r>
              <w:rPr>
                <w:color w:val="FF0000"/>
              </w:rPr>
              <w:t>必修课</w:t>
            </w:r>
            <w:r>
              <w:rPr>
                <w:rFonts w:hint="eastAsia"/>
                <w:color w:val="FF0000"/>
              </w:rPr>
              <w:t>，该课程是高校</w:t>
            </w:r>
            <w:r>
              <w:rPr>
                <w:color w:val="FF0000"/>
              </w:rPr>
              <w:t>教育的重要组成部分，教育部已明确要求各级学校要高度</w:t>
            </w:r>
            <w:r>
              <w:rPr>
                <w:rFonts w:hint="eastAsia"/>
                <w:color w:val="FF0000"/>
              </w:rPr>
              <w:t>重视</w:t>
            </w:r>
            <w:r>
              <w:rPr>
                <w:color w:val="FF0000"/>
              </w:rPr>
              <w:t>学校和学生安全教育工作</w:t>
            </w:r>
            <w:r>
              <w:rPr>
                <w:rFonts w:hint="eastAsia"/>
                <w:color w:val="FF0000"/>
              </w:rPr>
              <w:t>，它</w:t>
            </w:r>
            <w:r>
              <w:rPr>
                <w:color w:val="FF0000"/>
              </w:rPr>
              <w:t>是维护高校</w:t>
            </w:r>
            <w:r>
              <w:rPr>
                <w:rFonts w:hint="eastAsia"/>
                <w:color w:val="FF0000"/>
              </w:rPr>
              <w:t>的</w:t>
            </w:r>
            <w:r>
              <w:rPr>
                <w:color w:val="FF0000"/>
              </w:rPr>
              <w:t>安全</w:t>
            </w:r>
            <w:r>
              <w:rPr>
                <w:rFonts w:hint="eastAsia"/>
                <w:color w:val="FF0000"/>
              </w:rPr>
              <w:t>稳定</w:t>
            </w:r>
            <w:r>
              <w:rPr>
                <w:color w:val="FF0000"/>
              </w:rPr>
              <w:t>，</w:t>
            </w:r>
            <w:r>
              <w:rPr>
                <w:rFonts w:hint="eastAsia"/>
                <w:color w:val="FF0000"/>
              </w:rPr>
              <w:t>增强</w:t>
            </w:r>
            <w:r>
              <w:rPr>
                <w:color w:val="FF0000"/>
              </w:rPr>
              <w:t>大学生安全</w:t>
            </w:r>
            <w:r>
              <w:rPr>
                <w:rFonts w:hint="eastAsia"/>
                <w:color w:val="FF0000"/>
              </w:rPr>
              <w:t>防范意识</w:t>
            </w:r>
            <w:r>
              <w:rPr>
                <w:color w:val="FF0000"/>
              </w:rPr>
              <w:t>，提高大学生安全防范能力</w:t>
            </w:r>
            <w:r>
              <w:rPr>
                <w:rFonts w:hint="eastAsia"/>
                <w:color w:val="FF0000"/>
              </w:rPr>
              <w:t>，</w:t>
            </w:r>
            <w:r>
              <w:rPr>
                <w:color w:val="FF0000"/>
              </w:rPr>
              <w:t>养成良好的安全习惯。</w:t>
            </w:r>
            <w:r>
              <w:rPr>
                <w:rFonts w:hint="eastAsia"/>
                <w:color w:val="FF0000"/>
              </w:rPr>
              <w:t>掌握并应用与安全有关</w:t>
            </w:r>
            <w:r>
              <w:rPr>
                <w:color w:val="FF0000"/>
              </w:rPr>
              <w:t>的各项</w:t>
            </w:r>
            <w:r>
              <w:rPr>
                <w:rFonts w:hint="eastAsia"/>
                <w:color w:val="FF0000"/>
              </w:rPr>
              <w:t>知识技能，以培养具有</w:t>
            </w:r>
            <w:r>
              <w:rPr>
                <w:color w:val="FF0000"/>
              </w:rPr>
              <w:t>较高</w:t>
            </w:r>
            <w:r>
              <w:rPr>
                <w:rFonts w:hint="eastAsia"/>
                <w:color w:val="FF0000"/>
              </w:rPr>
              <w:t>安全</w:t>
            </w:r>
            <w:r>
              <w:rPr>
                <w:color w:val="FF0000"/>
              </w:rPr>
              <w:t>文化素质</w:t>
            </w:r>
            <w:r>
              <w:rPr>
                <w:rFonts w:hint="eastAsia"/>
                <w:color w:val="FF0000"/>
              </w:rPr>
              <w:t>和</w:t>
            </w:r>
            <w:r>
              <w:rPr>
                <w:color w:val="FF0000"/>
              </w:rPr>
              <w:t>良好安全习惯的合格人才。</w:t>
            </w:r>
          </w:p>
          <w:p>
            <w:pPr>
              <w:keepNext w:val="0"/>
              <w:keepLines w:val="0"/>
              <w:pageBreakBefore w:val="0"/>
              <w:kinsoku/>
              <w:wordWrap/>
              <w:overflowPunct/>
              <w:topLinePunct w:val="0"/>
              <w:autoSpaceDE/>
              <w:autoSpaceDN/>
              <w:bidi w:val="0"/>
              <w:spacing w:line="400" w:lineRule="exact"/>
              <w:textAlignment w:val="auto"/>
              <w:rPr>
                <w:color w:val="FF0000"/>
              </w:rPr>
            </w:pP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通过本课程的教学，使大学生掌握和了解安全</w:t>
            </w:r>
            <w:r>
              <w:rPr>
                <w:color w:val="FF0000"/>
              </w:rPr>
              <w:t>基本知识，掌握</w:t>
            </w:r>
            <w:r>
              <w:rPr>
                <w:rFonts w:hint="eastAsia"/>
                <w:color w:val="FF0000"/>
              </w:rPr>
              <w:t>与</w:t>
            </w:r>
            <w:r>
              <w:rPr>
                <w:color w:val="FF0000"/>
              </w:rPr>
              <w:t>安全</w:t>
            </w:r>
            <w:r>
              <w:rPr>
                <w:rFonts w:hint="eastAsia"/>
                <w:color w:val="FF0000"/>
              </w:rPr>
              <w:t>问题相关的法律法规</w:t>
            </w:r>
            <w:r>
              <w:rPr>
                <w:color w:val="FF0000"/>
              </w:rPr>
              <w:t>和</w:t>
            </w:r>
            <w:r>
              <w:rPr>
                <w:rFonts w:hint="eastAsia"/>
                <w:color w:val="FF0000"/>
              </w:rPr>
              <w:t>校纪校规</w:t>
            </w:r>
            <w:r>
              <w:rPr>
                <w:color w:val="FF0000"/>
              </w:rPr>
              <w:t>，</w:t>
            </w:r>
            <w:r>
              <w:rPr>
                <w:rFonts w:hint="eastAsia"/>
                <w:color w:val="FF0000"/>
              </w:rPr>
              <w:t>明晰</w:t>
            </w:r>
            <w:r>
              <w:rPr>
                <w:color w:val="FF0000"/>
              </w:rPr>
              <w:t>安全问题所包</w:t>
            </w:r>
            <w:r>
              <w:rPr>
                <w:rFonts w:hint="eastAsia"/>
                <w:color w:val="FF0000"/>
              </w:rPr>
              <w:t>含</w:t>
            </w:r>
            <w:r>
              <w:rPr>
                <w:color w:val="FF0000"/>
              </w:rPr>
              <w:t>的基本内容</w:t>
            </w:r>
            <w:r>
              <w:rPr>
                <w:rFonts w:hint="eastAsia"/>
                <w:color w:val="FF0000"/>
              </w:rPr>
              <w:t>。使大学生学习</w:t>
            </w:r>
            <w:r>
              <w:rPr>
                <w:color w:val="FF0000"/>
              </w:rPr>
              <w:t>掌握安全防范技能，</w:t>
            </w:r>
            <w:r>
              <w:rPr>
                <w:rFonts w:hint="eastAsia"/>
                <w:color w:val="FF0000"/>
              </w:rPr>
              <w:t>自我探索技能，掌握必要的自我防护</w:t>
            </w:r>
            <w:r>
              <w:rPr>
                <w:color w:val="FF0000"/>
              </w:rPr>
              <w:t>与逃生</w:t>
            </w:r>
            <w:r>
              <w:rPr>
                <w:rFonts w:hint="eastAsia"/>
                <w:color w:val="FF0000"/>
              </w:rPr>
              <w:t>技巧</w:t>
            </w:r>
            <w:r>
              <w:rPr>
                <w:color w:val="FF0000"/>
              </w:rPr>
              <w:t>；培养以人身</w:t>
            </w:r>
            <w:r>
              <w:rPr>
                <w:rFonts w:hint="eastAsia"/>
                <w:color w:val="FF0000"/>
              </w:rPr>
              <w:t>安全</w:t>
            </w:r>
            <w:r>
              <w:rPr>
                <w:color w:val="FF0000"/>
              </w:rPr>
              <w:t>为前提的自我保护技能、沟通技</w:t>
            </w:r>
            <w:r>
              <w:rPr>
                <w:rFonts w:hint="eastAsia"/>
                <w:color w:val="FF0000"/>
              </w:rPr>
              <w:t>能</w:t>
            </w:r>
            <w:r>
              <w:rPr>
                <w:color w:val="FF0000"/>
              </w:rPr>
              <w:t>、问题解决技能等。</w:t>
            </w:r>
          </w:p>
          <w:p>
            <w:pPr>
              <w:keepNext w:val="0"/>
              <w:keepLines w:val="0"/>
              <w:pageBreakBefore w:val="0"/>
              <w:kinsoku/>
              <w:wordWrap/>
              <w:overflowPunct/>
              <w:topLinePunct w:val="0"/>
              <w:autoSpaceDE/>
              <w:autoSpaceDN/>
              <w:bidi w:val="0"/>
              <w:spacing w:line="400" w:lineRule="exact"/>
              <w:textAlignment w:val="auto"/>
              <w:rPr>
                <w:color w:val="FF0000"/>
              </w:rPr>
            </w:pP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安全教育概述，国家安全</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 xml:space="preserve">网络反恐毒品安全 </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公共安全财产安全</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消防安全、交通安全等内容。</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b/>
                <w:color w:val="FF0000"/>
              </w:rPr>
              <w:t>主要学习内容与要求：</w:t>
            </w:r>
            <w:r>
              <w:rPr>
                <w:rFonts w:hint="eastAsia"/>
                <w:color w:val="FF0000"/>
              </w:rPr>
              <w:t>使</w:t>
            </w:r>
            <w:r>
              <w:rPr>
                <w:color w:val="FF0000"/>
              </w:rPr>
              <w:t>学生对</w:t>
            </w:r>
            <w:r>
              <w:rPr>
                <w:rFonts w:hint="eastAsia"/>
                <w:color w:val="FF0000"/>
              </w:rPr>
              <w:t>基础</w:t>
            </w:r>
            <w:r>
              <w:rPr>
                <w:color w:val="FF0000"/>
              </w:rPr>
              <w:t>安全</w:t>
            </w:r>
            <w:r>
              <w:rPr>
                <w:rFonts w:hint="eastAsia"/>
                <w:color w:val="FF0000"/>
              </w:rPr>
              <w:t>知识的理解，对安全技能</w:t>
            </w:r>
            <w:r>
              <w:rPr>
                <w:color w:val="FF0000"/>
              </w:rPr>
              <w:t>的</w:t>
            </w:r>
            <w:r>
              <w:rPr>
                <w:rFonts w:hint="eastAsia"/>
                <w:color w:val="FF0000"/>
              </w:rPr>
              <w:t>掌握熟练程度</w:t>
            </w:r>
            <w:r>
              <w:rPr>
                <w:color w:val="FF0000"/>
              </w:rPr>
              <w:t>，</w:t>
            </w:r>
            <w:r>
              <w:rPr>
                <w:rFonts w:hint="eastAsia"/>
                <w:color w:val="FF0000"/>
              </w:rPr>
              <w:t>把这些知识内化到自己的知识体系中，牢固树立“安全第一”的</w:t>
            </w:r>
            <w:r>
              <w:rPr>
                <w:color w:val="FF0000"/>
              </w:rPr>
              <w:t>思想观念，</w:t>
            </w:r>
            <w:r>
              <w:rPr>
                <w:rFonts w:hint="eastAsia"/>
                <w:color w:val="FF0000"/>
              </w:rPr>
              <w:t>增强</w:t>
            </w:r>
            <w:r>
              <w:rPr>
                <w:color w:val="FF0000"/>
              </w:rPr>
              <w:t>安全意识</w:t>
            </w:r>
            <w:r>
              <w:rPr>
                <w:rFonts w:hint="eastAsia"/>
                <w:color w:val="FF0000"/>
              </w:rPr>
              <w:t>和安全责任感</w:t>
            </w:r>
            <w:r>
              <w:rPr>
                <w:color w:val="FF0000"/>
              </w:rPr>
              <w:t>，把安全问题与个人发展和国家需要、社会发展相结合，</w:t>
            </w:r>
            <w:r>
              <w:rPr>
                <w:rFonts w:hint="eastAsia"/>
                <w:color w:val="FF0000"/>
              </w:rPr>
              <w:t>构筑</w:t>
            </w:r>
            <w:r>
              <w:rPr>
                <w:color w:val="FF0000"/>
              </w:rPr>
              <w:t>平安幸福的人生。</w:t>
            </w:r>
          </w:p>
          <w:p>
            <w:pPr>
              <w:keepNext w:val="0"/>
              <w:keepLines w:val="0"/>
              <w:pageBreakBefore w:val="0"/>
              <w:kinsoku/>
              <w:wordWrap/>
              <w:overflowPunct/>
              <w:topLinePunct w:val="0"/>
              <w:autoSpaceDE/>
              <w:autoSpaceDN/>
              <w:bidi w:val="0"/>
              <w:spacing w:before="156" w:beforeLines="50" w:line="400" w:lineRule="exact"/>
              <w:textAlignment w:val="auto"/>
              <w:rPr>
                <w:color w:val="FF0000"/>
              </w:rPr>
            </w:pPr>
            <w:r>
              <w:rPr>
                <w:rFonts w:hint="eastAsia"/>
                <w:color w:val="FF0000"/>
              </w:rPr>
              <w:t xml:space="preserve"> </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color w:val="FF0000"/>
              </w:rPr>
            </w:pPr>
            <w:r>
              <w:rPr>
                <w:rFonts w:ascii="宋体" w:hAnsi="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FF0000"/>
                <w:szCs w:val="21"/>
              </w:rPr>
            </w:pPr>
            <w:r>
              <w:rPr>
                <w:rFonts w:hint="eastAsia" w:ascii="宋体" w:hAnsi="宋体" w:cs="宋体"/>
                <w:color w:val="FF0000"/>
                <w:szCs w:val="21"/>
              </w:rPr>
              <w:t>15</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000000"/>
                <w:szCs w:val="21"/>
              </w:rPr>
              <w:t>大学生健康教育</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spacing w:line="400" w:lineRule="exact"/>
              <w:ind w:firstLine="420"/>
              <w:jc w:val="left"/>
              <w:textAlignment w:val="auto"/>
              <w:rPr>
                <w:rFonts w:ascii="宋体" w:hAnsi="宋体" w:cs="宋体"/>
                <w:color w:val="0D0D0D"/>
                <w:kern w:val="0"/>
                <w:szCs w:val="21"/>
              </w:rPr>
            </w:pPr>
            <w:r>
              <w:rPr>
                <w:rFonts w:hint="eastAsia" w:ascii="宋体" w:hAnsi="宋体" w:cs="宋体"/>
                <w:color w:val="000000"/>
                <w:szCs w:val="21"/>
              </w:rPr>
              <w:t>公共</w:t>
            </w:r>
            <w:r>
              <w:rPr>
                <w:rFonts w:ascii="宋体" w:hAnsi="宋体" w:cs="宋体"/>
                <w:color w:val="000000"/>
                <w:szCs w:val="21"/>
              </w:rPr>
              <w:t>必修课</w:t>
            </w:r>
            <w:r>
              <w:rPr>
                <w:rFonts w:hint="eastAsia" w:ascii="宋体" w:hAnsi="宋体" w:cs="宋体"/>
                <w:color w:val="000000"/>
                <w:szCs w:val="21"/>
              </w:rPr>
              <w:t>，</w:t>
            </w:r>
            <w:r>
              <w:rPr>
                <w:rFonts w:hint="eastAsia" w:ascii="宋体" w:hAnsi="宋体" w:cs="宋体"/>
                <w:color w:val="000000"/>
                <w:kern w:val="0"/>
                <w:szCs w:val="21"/>
              </w:rPr>
              <w:t>该课程是高校</w:t>
            </w:r>
            <w:r>
              <w:rPr>
                <w:rFonts w:ascii="宋体" w:hAnsi="宋体" w:cs="宋体"/>
                <w:color w:val="000000"/>
                <w:kern w:val="0"/>
                <w:szCs w:val="21"/>
              </w:rPr>
              <w:t>教育的重要组成部分，教育部已明确要求各级学校要高度</w:t>
            </w:r>
            <w:r>
              <w:rPr>
                <w:rFonts w:hint="eastAsia" w:ascii="宋体" w:hAnsi="宋体" w:cs="宋体"/>
                <w:color w:val="000000"/>
                <w:kern w:val="0"/>
                <w:szCs w:val="21"/>
              </w:rPr>
              <w:t>重视大学生健康教育，</w:t>
            </w:r>
            <w:r>
              <w:rPr>
                <w:rFonts w:hint="eastAsia" w:ascii="宋体" w:hAnsi="宋体" w:cs="宋体"/>
                <w:color w:val="0D0D0D"/>
                <w:kern w:val="0"/>
                <w:szCs w:val="21"/>
              </w:rPr>
              <w:t>本课程</w:t>
            </w:r>
            <w:r>
              <w:rPr>
                <w:rFonts w:hint="eastAsia" w:ascii="宋体" w:hAnsi="宋体" w:cs="宋体"/>
                <w:color w:val="000000"/>
                <w:kern w:val="0"/>
                <w:szCs w:val="21"/>
              </w:rPr>
              <w:t>的定位是在</w:t>
            </w:r>
            <w:r>
              <w:rPr>
                <w:rFonts w:hint="eastAsia" w:ascii="宋体" w:hAnsi="宋体" w:cs="宋体"/>
                <w:color w:val="000000"/>
                <w:szCs w:val="21"/>
                <w:shd w:val="clear" w:color="auto" w:fill="FFFFFF"/>
              </w:rPr>
              <w:t>人才培养目标上增进大学生自我保健意识，获得一定的医疗保健知识及现场急救操作技能，增强维护自身健康的自觉性，自觉选择健康的行为和生活方式，并具有提高自身和他人健康及预防疾病的能力，从而促进身心健康，</w:t>
            </w:r>
            <w:r>
              <w:rPr>
                <w:rFonts w:hint="eastAsia" w:ascii="宋体" w:hAnsi="宋体" w:cs="宋体"/>
                <w:color w:val="000000"/>
                <w:sz w:val="24"/>
                <w:shd w:val="clear" w:color="auto" w:fill="FFFFFF"/>
              </w:rPr>
              <w:t>提高健康素质。</w:t>
            </w:r>
          </w:p>
          <w:p>
            <w:pPr>
              <w:keepNext w:val="0"/>
              <w:keepLines w:val="0"/>
              <w:pageBreakBefore w:val="0"/>
              <w:kinsoku/>
              <w:wordWrap/>
              <w:overflowPunct/>
              <w:topLinePunct w:val="0"/>
              <w:autoSpaceDE/>
              <w:autoSpaceDN/>
              <w:bidi w:val="0"/>
              <w:spacing w:line="400" w:lineRule="exact"/>
              <w:textAlignment w:val="auto"/>
              <w:rPr>
                <w:color w:val="FF0000"/>
              </w:rPr>
            </w:pP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通过本课程的教学，增进大学生自我保健意识，获得一定的医疗保健知识及现场急救操作技能，增强维护自身健康的自觉性，自觉选择健康的行为和生活方式，并具有提高自身和他人健康及预防疾病的能力，从而促进身心健康，提高健康素质。</w:t>
            </w:r>
          </w:p>
          <w:p>
            <w:pPr>
              <w:keepNext w:val="0"/>
              <w:keepLines w:val="0"/>
              <w:pageBreakBefore w:val="0"/>
              <w:kinsoku/>
              <w:wordWrap/>
              <w:overflowPunct/>
              <w:topLinePunct w:val="0"/>
              <w:autoSpaceDE/>
              <w:autoSpaceDN/>
              <w:bidi w:val="0"/>
              <w:spacing w:line="400" w:lineRule="exact"/>
              <w:textAlignment w:val="auto"/>
              <w:rPr>
                <w:color w:val="FF0000"/>
              </w:rPr>
            </w:pP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ind w:right="-731" w:rightChars="-348"/>
              <w:textAlignment w:val="auto"/>
              <w:rPr>
                <w:color w:val="FF0000"/>
                <w:szCs w:val="21"/>
              </w:rPr>
            </w:pPr>
            <w:r>
              <w:rPr>
                <w:rFonts w:hint="eastAsia"/>
                <w:color w:val="FF0000"/>
                <w:szCs w:val="21"/>
              </w:rPr>
              <w:t>《大学生健康教育》针对高校学生关注的健康问题，从使用的角度精选教学内容，深入浅出，重在普及、突出健康观念和健康意识教育，使大学生了解相关健康常识，掌握相关技能，具备基本的健素养。主要的学习内容与要求：新型冠状病毒肺炎、新型冠状病毒感染防护知识、健康生活方式、</w:t>
            </w:r>
          </w:p>
          <w:p>
            <w:pPr>
              <w:keepNext w:val="0"/>
              <w:keepLines w:val="0"/>
              <w:pageBreakBefore w:val="0"/>
              <w:kinsoku/>
              <w:wordWrap/>
              <w:overflowPunct/>
              <w:topLinePunct w:val="0"/>
              <w:autoSpaceDE/>
              <w:autoSpaceDN/>
              <w:bidi w:val="0"/>
              <w:spacing w:before="156" w:beforeLines="50" w:line="400" w:lineRule="exact"/>
              <w:textAlignment w:val="auto"/>
              <w:rPr>
                <w:rFonts w:ascii="宋体" w:hAnsi="宋体" w:cs="宋体"/>
                <w:color w:val="000000"/>
                <w:szCs w:val="21"/>
              </w:rPr>
            </w:pPr>
            <w:r>
              <w:rPr>
                <w:rFonts w:hint="eastAsia"/>
                <w:color w:val="FF0000"/>
                <w:szCs w:val="21"/>
              </w:rPr>
              <w:t>合理饮食、疾病预防、</w:t>
            </w:r>
            <w:r>
              <w:rPr>
                <w:rFonts w:hint="eastAsia" w:ascii="宋体" w:hAnsi="宋体"/>
                <w:color w:val="FF0000"/>
                <w:szCs w:val="21"/>
              </w:rPr>
              <w:t>性与生殖健康、避孕知识、睡眠与健康、常见传染病、远离物质滥用、常见急救方法。要求学生对教学内容充分了解，对急救技能熟练掌握，把</w:t>
            </w:r>
            <w:r>
              <w:rPr>
                <w:rFonts w:hint="eastAsia"/>
                <w:color w:val="000000"/>
                <w:szCs w:val="21"/>
              </w:rPr>
              <w:t>把这些知识内化到自己的知识体系中，</w:t>
            </w:r>
            <w:r>
              <w:rPr>
                <w:rFonts w:hint="eastAsia" w:ascii="宋体" w:hAnsi="宋体"/>
                <w:color w:val="FF0000"/>
                <w:szCs w:val="21"/>
              </w:rPr>
              <w:t>构筑健康</w:t>
            </w:r>
            <w:r>
              <w:rPr>
                <w:rFonts w:ascii="宋体" w:hAnsi="宋体"/>
                <w:color w:val="FF0000"/>
                <w:szCs w:val="21"/>
              </w:rPr>
              <w:t>的人生。</w:t>
            </w:r>
          </w:p>
          <w:p>
            <w:pPr>
              <w:keepNext w:val="0"/>
              <w:keepLines w:val="0"/>
              <w:pageBreakBefore w:val="0"/>
              <w:kinsoku/>
              <w:wordWrap/>
              <w:overflowPunct/>
              <w:topLinePunct w:val="0"/>
              <w:autoSpaceDE/>
              <w:autoSpaceDN/>
              <w:bidi w:val="0"/>
              <w:spacing w:before="156" w:beforeLines="50" w:line="400" w:lineRule="exact"/>
              <w:textAlignment w:val="auto"/>
              <w:rPr>
                <w:color w:val="FF0000"/>
                <w:szCs w:val="21"/>
              </w:rPr>
            </w:pPr>
            <w:r>
              <w:rPr>
                <w:rFonts w:hint="eastAsia"/>
                <w:color w:val="FF0000"/>
                <w:szCs w:val="21"/>
              </w:rPr>
              <w:t xml:space="preserve"> </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b/>
                <w:color w:val="000000"/>
                <w:szCs w:val="21"/>
              </w:rPr>
            </w:pPr>
            <w:r>
              <w:rPr>
                <w:rFonts w:hint="eastAsia" w:ascii="宋体" w:hAnsi="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FF0000"/>
                <w:szCs w:val="21"/>
              </w:rPr>
            </w:pPr>
            <w:r>
              <w:rPr>
                <w:rFonts w:hint="eastAsia" w:ascii="宋体" w:hAnsi="宋体" w:cs="宋体"/>
                <w:color w:val="FF0000"/>
                <w:szCs w:val="21"/>
              </w:rPr>
              <w:t>16</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FF0000"/>
                <w:szCs w:val="21"/>
              </w:rPr>
              <w:t>军事理论</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军事课是普通高等学校学生的必修课程。军事课要以习</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近平强军思想和习近平总书记关于教育的重要论述为遵循，</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全面贯彻党的教育方针、新时代军事战略方针和总体国家安</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全观，围绕立德树人根本任务和强军目标根本要求，着眼培</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育和践行社会主义核心价值观，以提升学生国防意识和军事</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素养为重点，为实施军民融合发展战略和建设国防后备力量</w:t>
            </w:r>
          </w:p>
          <w:p>
            <w:pPr>
              <w:keepNext w:val="0"/>
              <w:keepLines w:val="0"/>
              <w:pageBreakBefore w:val="0"/>
              <w:widowControl/>
              <w:kinsoku/>
              <w:wordWrap/>
              <w:overflowPunct/>
              <w:topLinePunct w:val="0"/>
              <w:autoSpaceDE/>
              <w:autoSpaceDN/>
              <w:bidi w:val="0"/>
              <w:spacing w:line="400" w:lineRule="exact"/>
              <w:ind w:firstLine="420"/>
              <w:jc w:val="left"/>
              <w:textAlignment w:val="auto"/>
              <w:rPr>
                <w:rFonts w:ascii="宋体" w:hAnsi="宋体" w:cs="宋体"/>
                <w:color w:val="000000"/>
                <w:szCs w:val="21"/>
              </w:rPr>
            </w:pPr>
            <w:r>
              <w:rPr>
                <w:rFonts w:hint="eastAsia"/>
                <w:color w:val="FF0000"/>
              </w:rPr>
              <w:t>服务。</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普通高等学校通过军事课教学，让学生了解掌握军事基</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础知识和基本军事技能，增强国防观念、国家安全意识和忧</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患危机意识，弘扬爱国主义精神、传承红色基因、提高学生</w:t>
            </w:r>
          </w:p>
          <w:p>
            <w:pPr>
              <w:keepNext w:val="0"/>
              <w:keepLines w:val="0"/>
              <w:pageBreakBefore w:val="0"/>
              <w:kinsoku/>
              <w:wordWrap/>
              <w:overflowPunct/>
              <w:topLinePunct w:val="0"/>
              <w:autoSpaceDE/>
              <w:autoSpaceDN/>
              <w:bidi w:val="0"/>
              <w:spacing w:line="400" w:lineRule="exact"/>
              <w:textAlignment w:val="auto"/>
              <w:rPr>
                <w:color w:val="FF0000"/>
              </w:rPr>
            </w:pPr>
            <w:r>
              <w:rPr>
                <w:rFonts w:hint="eastAsia"/>
                <w:color w:val="FF0000"/>
              </w:rPr>
              <w:t>综合国防素质。</w:t>
            </w: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一</w:t>
            </w:r>
            <w:r>
              <w:rPr>
                <w:color w:val="FF0000"/>
                <w:szCs w:val="21"/>
              </w:rPr>
              <w:t>、</w:t>
            </w:r>
            <w:r>
              <w:rPr>
                <w:rFonts w:hint="eastAsia"/>
                <w:color w:val="FF0000"/>
                <w:szCs w:val="21"/>
              </w:rPr>
              <w:t>国防概述</w:t>
            </w:r>
          </w:p>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国防的内</w:t>
            </w:r>
            <w:r>
              <w:rPr>
                <w:color w:val="FF0000"/>
                <w:szCs w:val="21"/>
              </w:rPr>
              <w:t>涵</w:t>
            </w:r>
            <w:r>
              <w:rPr>
                <w:rFonts w:hint="eastAsia"/>
                <w:color w:val="FF0000"/>
                <w:szCs w:val="21"/>
              </w:rPr>
              <w:t>（1.1）、国防</w:t>
            </w:r>
            <w:r>
              <w:rPr>
                <w:color w:val="FF0000"/>
                <w:szCs w:val="21"/>
              </w:rPr>
              <w:t>的</w:t>
            </w:r>
            <w:r>
              <w:rPr>
                <w:rFonts w:hint="eastAsia"/>
                <w:color w:val="FF0000"/>
                <w:szCs w:val="21"/>
              </w:rPr>
              <w:t>职能与使命（上、中、下）二、国防法规</w:t>
            </w:r>
          </w:p>
          <w:p>
            <w:pPr>
              <w:keepNext w:val="0"/>
              <w:keepLines w:val="0"/>
              <w:pageBreakBefore w:val="0"/>
              <w:kinsoku/>
              <w:wordWrap/>
              <w:overflowPunct/>
              <w:topLinePunct w:val="0"/>
              <w:autoSpaceDE/>
              <w:autoSpaceDN/>
              <w:bidi w:val="0"/>
              <w:spacing w:line="400" w:lineRule="exact"/>
              <w:textAlignment w:val="auto"/>
              <w:rPr>
                <w:color w:val="FF0000"/>
                <w:szCs w:val="21"/>
              </w:rPr>
            </w:pPr>
            <w:r>
              <w:rPr>
                <w:rFonts w:hint="eastAsia"/>
                <w:color w:val="FF0000"/>
                <w:szCs w:val="21"/>
              </w:rPr>
              <w:t>国防法规于体系、公民的国防义务与权力三、国防建设</w:t>
            </w:r>
          </w:p>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国防体制、</w:t>
            </w:r>
            <w:r>
              <w:rPr>
                <w:color w:val="FF0000"/>
                <w:szCs w:val="21"/>
              </w:rPr>
              <w:t>国防战略</w:t>
            </w:r>
            <w:r>
              <w:rPr>
                <w:rFonts w:hint="eastAsia"/>
                <w:color w:val="FF0000"/>
                <w:szCs w:val="21"/>
              </w:rPr>
              <w:t>、</w:t>
            </w:r>
            <w:r>
              <w:rPr>
                <w:color w:val="FF0000"/>
                <w:szCs w:val="21"/>
              </w:rPr>
              <w:t>国防成就、军民融合</w:t>
            </w:r>
            <w:r>
              <w:rPr>
                <w:rFonts w:hint="eastAsia"/>
                <w:color w:val="FF0000"/>
                <w:szCs w:val="21"/>
              </w:rPr>
              <w:t>四、武装力量</w:t>
            </w:r>
          </w:p>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中国武装</w:t>
            </w:r>
            <w:r>
              <w:rPr>
                <w:color w:val="FF0000"/>
                <w:szCs w:val="21"/>
              </w:rPr>
              <w:t>力量性质、宗旨、</w:t>
            </w:r>
            <w:r>
              <w:rPr>
                <w:rFonts w:hint="eastAsia"/>
                <w:color w:val="FF0000"/>
                <w:szCs w:val="21"/>
              </w:rPr>
              <w:t>使命</w:t>
            </w:r>
            <w:r>
              <w:rPr>
                <w:color w:val="FF0000"/>
                <w:szCs w:val="21"/>
              </w:rPr>
              <w:t>及武装力量构成、人民军队的发展历程</w:t>
            </w:r>
            <w:r>
              <w:rPr>
                <w:rFonts w:hint="eastAsia"/>
                <w:color w:val="FF0000"/>
                <w:szCs w:val="21"/>
              </w:rPr>
              <w:t>五</w:t>
            </w:r>
            <w:r>
              <w:rPr>
                <w:color w:val="FF0000"/>
                <w:szCs w:val="21"/>
              </w:rPr>
              <w:t>、</w:t>
            </w:r>
            <w:r>
              <w:rPr>
                <w:rFonts w:hint="eastAsia"/>
                <w:color w:val="FF0000"/>
                <w:szCs w:val="21"/>
              </w:rPr>
              <w:t>国防动员</w:t>
            </w:r>
          </w:p>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国防动员</w:t>
            </w:r>
            <w:r>
              <w:rPr>
                <w:color w:val="FF0000"/>
                <w:szCs w:val="21"/>
              </w:rPr>
              <w:t>内涵、国防动员主要内容及意义</w:t>
            </w:r>
            <w:r>
              <w:rPr>
                <w:rFonts w:hint="eastAsia"/>
                <w:color w:val="FF0000"/>
                <w:szCs w:val="21"/>
              </w:rPr>
              <w:t>七</w:t>
            </w:r>
            <w:r>
              <w:rPr>
                <w:color w:val="FF0000"/>
                <w:szCs w:val="21"/>
              </w:rPr>
              <w:t>、</w:t>
            </w:r>
            <w:r>
              <w:rPr>
                <w:rFonts w:hint="eastAsia"/>
                <w:color w:val="FF0000"/>
                <w:szCs w:val="21"/>
              </w:rPr>
              <w:t>国家安全</w:t>
            </w:r>
            <w:r>
              <w:rPr>
                <w:color w:val="FF0000"/>
                <w:szCs w:val="21"/>
              </w:rPr>
              <w:t>形势</w:t>
            </w:r>
          </w:p>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我国地缘</w:t>
            </w:r>
            <w:r>
              <w:rPr>
                <w:color w:val="FF0000"/>
                <w:szCs w:val="21"/>
              </w:rPr>
              <w:t>环境基本概况、地缘安全、新形势下的国家安全、</w:t>
            </w:r>
            <w:r>
              <w:rPr>
                <w:rFonts w:hint="eastAsia"/>
                <w:color w:val="FF0000"/>
                <w:szCs w:val="21"/>
              </w:rPr>
              <w:t>新兴</w:t>
            </w:r>
            <w:r>
              <w:rPr>
                <w:color w:val="FF0000"/>
                <w:szCs w:val="21"/>
              </w:rPr>
              <w:t>领域的国家安全</w:t>
            </w:r>
            <w:r>
              <w:rPr>
                <w:rFonts w:hint="eastAsia"/>
                <w:color w:val="FF0000"/>
                <w:szCs w:val="21"/>
              </w:rPr>
              <w:t>八</w:t>
            </w:r>
            <w:r>
              <w:rPr>
                <w:color w:val="FF0000"/>
                <w:szCs w:val="21"/>
              </w:rPr>
              <w:t>、</w:t>
            </w:r>
            <w:r>
              <w:rPr>
                <w:rFonts w:hint="eastAsia"/>
                <w:color w:val="FF0000"/>
                <w:szCs w:val="21"/>
              </w:rPr>
              <w:t>国际</w:t>
            </w:r>
            <w:r>
              <w:rPr>
                <w:color w:val="FF0000"/>
                <w:szCs w:val="21"/>
              </w:rPr>
              <w:t>战略</w:t>
            </w:r>
            <w:r>
              <w:rPr>
                <w:rFonts w:hint="eastAsia"/>
                <w:color w:val="FF0000"/>
                <w:szCs w:val="21"/>
              </w:rPr>
              <w:t>形势</w:t>
            </w:r>
          </w:p>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国际</w:t>
            </w:r>
            <w:r>
              <w:rPr>
                <w:color w:val="FF0000"/>
                <w:szCs w:val="21"/>
              </w:rPr>
              <w:t>战略形势</w:t>
            </w:r>
            <w:r>
              <w:rPr>
                <w:rFonts w:hint="eastAsia"/>
                <w:color w:val="FF0000"/>
                <w:szCs w:val="21"/>
              </w:rPr>
              <w:t>现状</w:t>
            </w:r>
            <w:r>
              <w:rPr>
                <w:color w:val="FF0000"/>
                <w:szCs w:val="21"/>
              </w:rPr>
              <w:t>与发展趋势、世界主要国</w:t>
            </w:r>
            <w:r>
              <w:rPr>
                <w:rFonts w:hint="eastAsia"/>
                <w:color w:val="FF0000"/>
                <w:szCs w:val="21"/>
              </w:rPr>
              <w:t>家</w:t>
            </w:r>
            <w:r>
              <w:rPr>
                <w:color w:val="FF0000"/>
                <w:szCs w:val="21"/>
              </w:rPr>
              <w:t>军事力量及战略动向</w:t>
            </w:r>
            <w:r>
              <w:rPr>
                <w:rFonts w:hint="eastAsia"/>
                <w:color w:val="FF0000"/>
                <w:szCs w:val="21"/>
              </w:rPr>
              <w:t>九</w:t>
            </w:r>
            <w:r>
              <w:rPr>
                <w:color w:val="FF0000"/>
                <w:szCs w:val="21"/>
              </w:rPr>
              <w:t>、军事思想概述</w:t>
            </w:r>
          </w:p>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军事</w:t>
            </w:r>
            <w:r>
              <w:rPr>
                <w:color w:val="FF0000"/>
                <w:szCs w:val="21"/>
              </w:rPr>
              <w:t>思想的内涵、发展历程以及地位作用</w:t>
            </w:r>
            <w:r>
              <w:rPr>
                <w:rFonts w:hint="eastAsia"/>
                <w:color w:val="FF0000"/>
                <w:szCs w:val="21"/>
              </w:rPr>
              <w:t>十二</w:t>
            </w:r>
            <w:r>
              <w:rPr>
                <w:color w:val="FF0000"/>
                <w:szCs w:val="21"/>
              </w:rPr>
              <w:t>、当代中国军事思想</w:t>
            </w:r>
          </w:p>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毛泽东</w:t>
            </w:r>
            <w:r>
              <w:rPr>
                <w:color w:val="FF0000"/>
                <w:szCs w:val="21"/>
              </w:rPr>
              <w:t>军事思想、邓小平</w:t>
            </w:r>
            <w:r>
              <w:rPr>
                <w:rFonts w:hint="eastAsia"/>
                <w:color w:val="FF0000"/>
                <w:szCs w:val="21"/>
              </w:rPr>
              <w:t>新时期军队</w:t>
            </w:r>
            <w:r>
              <w:rPr>
                <w:color w:val="FF0000"/>
                <w:szCs w:val="21"/>
              </w:rPr>
              <w:t>建设思想、江泽民论国防和军</w:t>
            </w:r>
            <w:r>
              <w:rPr>
                <w:rFonts w:hint="eastAsia"/>
                <w:color w:val="FF0000"/>
                <w:szCs w:val="21"/>
              </w:rPr>
              <w:t>队</w:t>
            </w:r>
            <w:r>
              <w:rPr>
                <w:color w:val="FF0000"/>
                <w:szCs w:val="21"/>
              </w:rPr>
              <w:t>建设思想、胡锦涛关于国防和军队建设重要论述、习近平强军思想</w:t>
            </w:r>
            <w:r>
              <w:rPr>
                <w:rFonts w:hint="eastAsia"/>
                <w:color w:val="FF0000"/>
                <w:szCs w:val="21"/>
              </w:rPr>
              <w:t>十四、</w:t>
            </w:r>
            <w:r>
              <w:rPr>
                <w:color w:val="FF0000"/>
                <w:szCs w:val="21"/>
              </w:rPr>
              <w:t>新军事革命</w:t>
            </w:r>
          </w:p>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新</w:t>
            </w:r>
            <w:r>
              <w:rPr>
                <w:color w:val="FF0000"/>
                <w:szCs w:val="21"/>
              </w:rPr>
              <w:t>军事革命的内涵、发展演变、主要内容领域的国家安全</w:t>
            </w:r>
            <w:r>
              <w:rPr>
                <w:rFonts w:hint="eastAsia"/>
                <w:color w:val="FF0000"/>
                <w:szCs w:val="21"/>
              </w:rPr>
              <w:t>十六</w:t>
            </w:r>
            <w:r>
              <w:rPr>
                <w:color w:val="FF0000"/>
                <w:szCs w:val="21"/>
              </w:rPr>
              <w:t>、信息化战争</w:t>
            </w:r>
          </w:p>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信息化</w:t>
            </w:r>
            <w:r>
              <w:rPr>
                <w:color w:val="FF0000"/>
                <w:szCs w:val="21"/>
              </w:rPr>
              <w:t>战争的基本内涵、主要形态、特征</w:t>
            </w:r>
            <w:r>
              <w:rPr>
                <w:rFonts w:hint="eastAsia"/>
                <w:color w:val="FF0000"/>
                <w:szCs w:val="21"/>
              </w:rPr>
              <w:t>、</w:t>
            </w:r>
            <w:r>
              <w:rPr>
                <w:color w:val="FF0000"/>
                <w:szCs w:val="21"/>
              </w:rPr>
              <w:t>代表性</w:t>
            </w:r>
            <w:r>
              <w:rPr>
                <w:rFonts w:hint="eastAsia"/>
                <w:color w:val="FF0000"/>
                <w:szCs w:val="21"/>
              </w:rPr>
              <w:t>战</w:t>
            </w:r>
            <w:r>
              <w:rPr>
                <w:color w:val="FF0000"/>
                <w:szCs w:val="21"/>
              </w:rPr>
              <w:t>例</w:t>
            </w:r>
            <w:r>
              <w:rPr>
                <w:rFonts w:hint="eastAsia"/>
                <w:color w:val="FF0000"/>
                <w:szCs w:val="21"/>
              </w:rPr>
              <w:t>、</w:t>
            </w:r>
            <w:r>
              <w:rPr>
                <w:color w:val="FF0000"/>
                <w:szCs w:val="21"/>
              </w:rPr>
              <w:t>战争形态发展趋势</w:t>
            </w:r>
            <w:r>
              <w:rPr>
                <w:rFonts w:hint="eastAsia"/>
                <w:color w:val="FF0000"/>
                <w:szCs w:val="21"/>
              </w:rPr>
              <w:t>十八</w:t>
            </w:r>
            <w:r>
              <w:rPr>
                <w:color w:val="FF0000"/>
                <w:szCs w:val="21"/>
              </w:rPr>
              <w:t>、</w:t>
            </w:r>
            <w:r>
              <w:rPr>
                <w:rFonts w:hint="eastAsia"/>
                <w:color w:val="FF0000"/>
                <w:szCs w:val="21"/>
              </w:rPr>
              <w:t>信息</w:t>
            </w:r>
            <w:r>
              <w:rPr>
                <w:color w:val="FF0000"/>
                <w:szCs w:val="21"/>
              </w:rPr>
              <w:t>化作战平台</w:t>
            </w:r>
            <w:r>
              <w:rPr>
                <w:rFonts w:hint="eastAsia"/>
                <w:color w:val="FF0000"/>
                <w:szCs w:val="21"/>
              </w:rPr>
              <w:t xml:space="preserve"> 各国</w:t>
            </w:r>
            <w:r>
              <w:rPr>
                <w:color w:val="FF0000"/>
                <w:szCs w:val="21"/>
              </w:rPr>
              <w:t>主要飞机、坦克、军舰等信息武</w:t>
            </w:r>
            <w:r>
              <w:rPr>
                <w:rFonts w:hint="eastAsia"/>
                <w:color w:val="FF0000"/>
                <w:szCs w:val="21"/>
              </w:rPr>
              <w:t>器</w:t>
            </w:r>
            <w:r>
              <w:rPr>
                <w:color w:val="FF0000"/>
                <w:szCs w:val="21"/>
              </w:rPr>
              <w:t>装备发展趋势、战例应用</w:t>
            </w:r>
            <w:r>
              <w:rPr>
                <w:rFonts w:hint="eastAsia"/>
                <w:color w:val="FF0000"/>
                <w:szCs w:val="21"/>
              </w:rPr>
              <w:t>二十、</w:t>
            </w:r>
            <w:r>
              <w:rPr>
                <w:color w:val="FF0000"/>
                <w:szCs w:val="21"/>
              </w:rPr>
              <w:t>信息化杀伤武器</w:t>
            </w:r>
          </w:p>
          <w:p>
            <w:pPr>
              <w:keepNext w:val="0"/>
              <w:keepLines w:val="0"/>
              <w:pageBreakBefore w:val="0"/>
              <w:kinsoku/>
              <w:wordWrap/>
              <w:overflowPunct/>
              <w:topLinePunct w:val="0"/>
              <w:autoSpaceDE/>
              <w:autoSpaceDN/>
              <w:bidi w:val="0"/>
              <w:spacing w:line="400" w:lineRule="exact"/>
              <w:jc w:val="left"/>
              <w:textAlignment w:val="auto"/>
              <w:rPr>
                <w:color w:val="FF0000"/>
                <w:szCs w:val="21"/>
              </w:rPr>
            </w:pPr>
            <w:r>
              <w:rPr>
                <w:rFonts w:hint="eastAsia"/>
                <w:color w:val="FF0000"/>
                <w:szCs w:val="21"/>
              </w:rPr>
              <w:t>新概念</w:t>
            </w:r>
            <w:r>
              <w:rPr>
                <w:color w:val="FF0000"/>
                <w:szCs w:val="21"/>
              </w:rPr>
              <w:t>、精确制导、核生化武器装备等武器装备发展趋势、战例应用</w:t>
            </w:r>
          </w:p>
          <w:p>
            <w:pPr>
              <w:keepNext w:val="0"/>
              <w:keepLines w:val="0"/>
              <w:pageBreakBefore w:val="0"/>
              <w:kinsoku/>
              <w:wordWrap/>
              <w:overflowPunct/>
              <w:topLinePunct w:val="0"/>
              <w:autoSpaceDE/>
              <w:autoSpaceDN/>
              <w:bidi w:val="0"/>
              <w:spacing w:line="400" w:lineRule="exact"/>
              <w:ind w:right="-731" w:rightChars="-348"/>
              <w:textAlignment w:val="auto"/>
              <w:rPr>
                <w:color w:val="FF0000"/>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b/>
                <w:color w:val="000000"/>
                <w:szCs w:val="21"/>
              </w:rPr>
            </w:pPr>
            <w:r>
              <w:rPr>
                <w:rFonts w:hint="eastAsia" w:ascii="宋体" w:hAnsi="宋体" w:cs="宋体"/>
                <w:b/>
                <w:color w:val="000000"/>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FF0000"/>
                <w:szCs w:val="21"/>
              </w:rPr>
            </w:pPr>
            <w:r>
              <w:rPr>
                <w:rFonts w:hint="eastAsia" w:ascii="宋体" w:hAnsi="宋体" w:cs="宋体"/>
                <w:color w:val="FF0000"/>
                <w:szCs w:val="21"/>
              </w:rPr>
              <w:t>17</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000000"/>
                <w:szCs w:val="21"/>
              </w:rPr>
            </w:pPr>
            <w:r>
              <w:rPr>
                <w:rFonts w:hint="eastAsia" w:ascii="宋体" w:hAnsi="宋体" w:cs="宋体"/>
                <w:color w:val="FF0000"/>
                <w:szCs w:val="21"/>
              </w:rPr>
              <w:t>劳动教育</w:t>
            </w:r>
          </w:p>
        </w:tc>
        <w:tc>
          <w:tcPr>
            <w:tcW w:w="201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cs="宋体"/>
                <w:color w:val="000000"/>
                <w:szCs w:val="21"/>
              </w:rPr>
            </w:pPr>
            <w:r>
              <w:rPr>
                <w:color w:val="FF0000"/>
              </w:rPr>
              <w:t>高校劳动教育是明确劳动科学体系、掌握劳动科学知识的阶段，必须以劳动教育课程化为基础。中共中央、国务院发布的《关于全面加强新时代大中小学劳动教育的意见》（以下简称《意见》）中明确提出：“普通高等学校要明确劳动教育主要依托课程，其中本科阶段不少于32 学时。”开设《</w:t>
            </w:r>
            <w:r>
              <w:rPr>
                <w:rFonts w:hint="eastAsia"/>
                <w:color w:val="FF0000"/>
                <w:szCs w:val="21"/>
              </w:rPr>
              <w:t>新时代劳动教育理论与实践教程</w:t>
            </w:r>
            <w:r>
              <w:rPr>
                <w:color w:val="FF0000"/>
              </w:rPr>
              <w:t>》通识课程是贯彻落实《意见》和教育部发部的《大中小学劳动教育指导纲要（试行）》的积极实践。本课程以普及劳动科学知识、提高劳动科学素养为着眼点，把劳动科学发展和劳动实践需求两个维度相结合，针对当代大学生特点，从劳动品德涵养、劳动情怀培育、专业技能习得、创新创业激励、职业素养提升、劳动权益保护、劳动文化塑造、团队意识培养、未来劳动认知等多个维度出发，全面系统介绍劳动学科领域基本知识，旨在引导新时代大学生坚定树立马克思主义劳动观，真正懂得劳动创造价值、劳动关乎幸福人生的道理。</w:t>
            </w:r>
          </w:p>
        </w:tc>
        <w:tc>
          <w:tcPr>
            <w:tcW w:w="220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ind w:firstLine="420" w:firstLineChars="200"/>
              <w:textAlignment w:val="auto"/>
              <w:rPr>
                <w:color w:val="FF0000"/>
              </w:rPr>
            </w:pPr>
            <w:r>
              <w:rPr>
                <w:color w:val="FF0000"/>
              </w:rPr>
              <w:t>要系统、全面、准确地阐述劳动品德、劳动情怀、专业技能、创造性劳动、职业选择、劳动权益、劳动文化、集体劳动、未来劳动等的基础知识和最新成果，在理论的阐述和案例的列举中要多联系中国实际，使之既忠实于学科原貌，又通俗易懂。</w:t>
            </w:r>
          </w:p>
          <w:p>
            <w:pPr>
              <w:keepNext w:val="0"/>
              <w:keepLines w:val="0"/>
              <w:pageBreakBefore w:val="0"/>
              <w:kinsoku/>
              <w:wordWrap/>
              <w:overflowPunct/>
              <w:topLinePunct w:val="0"/>
              <w:autoSpaceDE/>
              <w:autoSpaceDN/>
              <w:bidi w:val="0"/>
              <w:spacing w:line="400" w:lineRule="exact"/>
              <w:textAlignment w:val="auto"/>
              <w:rPr>
                <w:color w:val="FF0000"/>
              </w:rPr>
            </w:pPr>
          </w:p>
          <w:p>
            <w:pPr>
              <w:keepNext w:val="0"/>
              <w:keepLines w:val="0"/>
              <w:pageBreakBefore w:val="0"/>
              <w:kinsoku/>
              <w:wordWrap/>
              <w:overflowPunct/>
              <w:topLinePunct w:val="0"/>
              <w:autoSpaceDE/>
              <w:autoSpaceDN/>
              <w:bidi w:val="0"/>
              <w:spacing w:line="400" w:lineRule="exact"/>
              <w:textAlignment w:val="auto"/>
              <w:rPr>
                <w:color w:val="FF0000"/>
              </w:rPr>
            </w:pPr>
          </w:p>
        </w:tc>
        <w:tc>
          <w:tcPr>
            <w:tcW w:w="262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spacing w:line="400" w:lineRule="exact"/>
              <w:ind w:firstLine="420" w:firstLineChars="200"/>
              <w:textAlignment w:val="auto"/>
              <w:rPr>
                <w:color w:val="FF0000"/>
              </w:rPr>
            </w:pPr>
            <w:r>
              <w:rPr>
                <w:color w:val="FF0000"/>
              </w:rPr>
              <w:t>第一，正确认识劳动的现象和本质，深化对劳动内涵的理解与认识，懂得马克思主义劳动观的立场、观点和方法，深刻领会贯穿其中的辩证唯物主义和历史唯物主义世界观与方法论，让学生从理论到实践、从历史到未来，完整学习与未来职业发展密切相关的通用劳动科学知识。</w:t>
            </w:r>
          </w:p>
          <w:p>
            <w:pPr>
              <w:keepNext w:val="0"/>
              <w:keepLines w:val="0"/>
              <w:pageBreakBefore w:val="0"/>
              <w:kinsoku/>
              <w:wordWrap/>
              <w:overflowPunct/>
              <w:topLinePunct w:val="0"/>
              <w:autoSpaceDE/>
              <w:autoSpaceDN/>
              <w:bidi w:val="0"/>
              <w:spacing w:line="400" w:lineRule="exact"/>
              <w:ind w:firstLine="420" w:firstLineChars="200"/>
              <w:textAlignment w:val="auto"/>
              <w:rPr>
                <w:color w:val="FF0000"/>
              </w:rPr>
            </w:pPr>
            <w:r>
              <w:rPr>
                <w:color w:val="FF0000"/>
              </w:rPr>
              <w:t>第二，本课程设置</w:t>
            </w:r>
            <w:r>
              <w:rPr>
                <w:rFonts w:hint="eastAsia"/>
                <w:color w:val="FF0000"/>
              </w:rPr>
              <w:t>20</w:t>
            </w:r>
            <w:r>
              <w:rPr>
                <w:color w:val="FF0000"/>
              </w:rPr>
              <w:t>课时劳动实践课程，在劳动实践中让学生进一步加深对所学知识的理解，让学生在实践中掌握一定劳动技能，提高动手能力，通过出力流汗，接受锻炼、</w:t>
            </w:r>
            <w:r>
              <w:rPr>
                <w:rFonts w:hint="eastAsia"/>
                <w:color w:val="FF0000"/>
              </w:rPr>
              <w:t>磨练</w:t>
            </w:r>
            <w:r>
              <w:rPr>
                <w:color w:val="FF0000"/>
              </w:rPr>
              <w:t>意志，感受劳动带来的收获乐趣，形成尊重劳动、热爱劳动、珍惜劳动成果的真挚情感。</w:t>
            </w:r>
          </w:p>
          <w:p>
            <w:pPr>
              <w:keepNext w:val="0"/>
              <w:keepLines w:val="0"/>
              <w:pageBreakBefore w:val="0"/>
              <w:kinsoku/>
              <w:wordWrap/>
              <w:overflowPunct/>
              <w:topLinePunct w:val="0"/>
              <w:autoSpaceDE/>
              <w:autoSpaceDN/>
              <w:bidi w:val="0"/>
              <w:spacing w:line="400" w:lineRule="exact"/>
              <w:ind w:firstLine="420" w:firstLineChars="200"/>
              <w:textAlignment w:val="auto"/>
              <w:rPr>
                <w:color w:val="FF0000"/>
              </w:rPr>
            </w:pPr>
            <w:r>
              <w:rPr>
                <w:color w:val="FF0000"/>
              </w:rPr>
              <w:t>第三，要求学生进行一定的自学，并提倡学生广泛阅读参考书，使其更多地了解劳动科学知识及其在各方面的应用。提倡学生独立地结合实际问题进行思考和展开讨论。在此基础上，学会分析案例，解决实际问题，把劳动教育理论与实践的学习融入对经济社会活动的研究和认识之中，切实提高创造性劳动的能力。</w:t>
            </w:r>
          </w:p>
          <w:p>
            <w:pPr>
              <w:keepNext w:val="0"/>
              <w:keepLines w:val="0"/>
              <w:pageBreakBefore w:val="0"/>
              <w:kinsoku/>
              <w:wordWrap/>
              <w:overflowPunct/>
              <w:topLinePunct w:val="0"/>
              <w:autoSpaceDE/>
              <w:autoSpaceDN/>
              <w:bidi w:val="0"/>
              <w:spacing w:line="400" w:lineRule="exact"/>
              <w:ind w:right="-731" w:rightChars="-348"/>
              <w:textAlignment w:val="auto"/>
              <w:rPr>
                <w:color w:val="FF0000"/>
                <w:szCs w:val="21"/>
              </w:rPr>
            </w:pPr>
          </w:p>
          <w:p>
            <w:pPr>
              <w:keepNext w:val="0"/>
              <w:keepLines w:val="0"/>
              <w:pageBreakBefore w:val="0"/>
              <w:kinsoku/>
              <w:wordWrap/>
              <w:overflowPunct/>
              <w:topLinePunct w:val="0"/>
              <w:autoSpaceDE/>
              <w:autoSpaceDN/>
              <w:bidi w:val="0"/>
              <w:spacing w:line="400" w:lineRule="exact"/>
              <w:ind w:right="-731" w:rightChars="-348"/>
              <w:textAlignment w:val="auto"/>
              <w:rPr>
                <w:color w:val="FF0000"/>
                <w:szCs w:val="21"/>
              </w:rPr>
            </w:pPr>
          </w:p>
          <w:p>
            <w:pPr>
              <w:keepNext w:val="0"/>
              <w:keepLines w:val="0"/>
              <w:pageBreakBefore w:val="0"/>
              <w:kinsoku/>
              <w:wordWrap/>
              <w:overflowPunct/>
              <w:topLinePunct w:val="0"/>
              <w:autoSpaceDE/>
              <w:autoSpaceDN/>
              <w:bidi w:val="0"/>
              <w:spacing w:line="400" w:lineRule="exact"/>
              <w:ind w:right="-731" w:rightChars="-348"/>
              <w:textAlignment w:val="auto"/>
              <w:rPr>
                <w:color w:val="FF0000"/>
                <w:szCs w:val="21"/>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b/>
                <w:color w:val="000000"/>
                <w:szCs w:val="21"/>
              </w:rPr>
            </w:pPr>
            <w:r>
              <w:rPr>
                <w:rFonts w:hint="eastAsia" w:ascii="宋体" w:hAnsi="宋体" w:cs="宋体"/>
                <w:b/>
                <w:color w:val="00000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FF0000"/>
                <w:szCs w:val="21"/>
              </w:rPr>
            </w:pPr>
            <w:r>
              <w:rPr>
                <w:rFonts w:ascii="宋体" w:hAnsi="宋体" w:cs="宋体"/>
                <w:color w:val="FF0000"/>
                <w:szCs w:val="21"/>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00" w:lineRule="exact"/>
              <w:jc w:val="center"/>
              <w:textAlignment w:val="auto"/>
              <w:rPr>
                <w:rFonts w:ascii="宋体" w:hAnsi="宋体" w:cs="宋体"/>
                <w:color w:val="FF0000"/>
                <w:szCs w:val="21"/>
              </w:rPr>
            </w:pPr>
            <w:r>
              <w:rPr>
                <w:rFonts w:hint="eastAsia" w:ascii="宋体" w:hAnsi="宋体" w:cs="宋体"/>
                <w:color w:val="FF0000"/>
                <w:szCs w:val="21"/>
              </w:rPr>
              <w:t>党史</w:t>
            </w:r>
          </w:p>
        </w:tc>
        <w:tc>
          <w:tcPr>
            <w:tcW w:w="201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color w:val="FF0000"/>
              </w:rPr>
            </w:pPr>
            <w:r>
              <w:rPr>
                <w:rFonts w:hint="eastAsia"/>
                <w:color w:val="FF0000"/>
                <w:lang w:eastAsia="zh-CN"/>
              </w:rPr>
              <w:t>党史</w:t>
            </w:r>
            <w:r>
              <w:rPr>
                <w:rFonts w:hint="eastAsia"/>
                <w:color w:val="FF0000"/>
              </w:rPr>
              <w:t>包含：《党史》、《新中国史》、《改革开放史》、《社会主义发展史》四门课程，是我院开设的公共课。</w:t>
            </w:r>
          </w:p>
        </w:tc>
        <w:tc>
          <w:tcPr>
            <w:tcW w:w="220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color w:val="FF0000"/>
              </w:rPr>
            </w:pPr>
            <w:r>
              <w:rPr>
                <w:rFonts w:hint="eastAsia"/>
                <w:color w:val="FF0000"/>
              </w:rPr>
              <w:t>本课程要以习近平新时代中国特色社会主义思想为指导，全面落实立德树人根本任务，教育引导学生弄清楚当今中国所处的历史方位和自己所应担负的历史责任，深刻理解中华民族从站起来、富起来到强起来的历史逻辑、理论逻辑和实践逻辑，增强听党话、跟党走的思想和行动自觉，牢固树立中国特色社会主义的道路自信、理论自信、制度自信和文化自信。</w:t>
            </w:r>
          </w:p>
        </w:tc>
        <w:tc>
          <w:tcPr>
            <w:tcW w:w="262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color w:val="FF0000"/>
              </w:rPr>
            </w:pPr>
            <w:r>
              <w:rPr>
                <w:rFonts w:hint="eastAsia"/>
                <w:color w:val="FF0000"/>
              </w:rPr>
              <w:t>深入贯彻落实习近平总书记关于深化思想政治理论课改革创新和加强“</w:t>
            </w:r>
            <w:r>
              <w:rPr>
                <w:rFonts w:hint="eastAsia"/>
                <w:color w:val="FF0000"/>
                <w:lang w:eastAsia="zh-CN"/>
              </w:rPr>
              <w:t>党史</w:t>
            </w:r>
            <w:r>
              <w:rPr>
                <w:rFonts w:hint="eastAsia"/>
                <w:color w:val="FF0000"/>
              </w:rPr>
              <w:t>”教育的重要指示精神，全面落实习近平总书记在党史学习教育动员大会上的重要讲话精神和《中共中央关于在全党开展党史学习教育的通知》，遵循学生认知规律，设计以党史教育为重点的“</w:t>
            </w:r>
            <w:r>
              <w:rPr>
                <w:rFonts w:hint="eastAsia"/>
                <w:color w:val="FF0000"/>
                <w:lang w:eastAsia="zh-CN"/>
              </w:rPr>
              <w:t>党史</w:t>
            </w:r>
            <w:r>
              <w:rPr>
                <w:rFonts w:hint="eastAsia"/>
                <w:color w:val="FF0000"/>
              </w:rPr>
              <w:t>”教育内容。党史重点突出“英雄”主题，讲好英雄事迹，弘扬革命精神；新中国史重点突出“复兴”主题，全面展示中华民族迈向伟大复兴的光辉历程；改革开放史重点突出“创新”主题，深刻展现改革开放40多年来取得的辉煌成就；社会主义发展史重点突出“信念”主题，彰显社会主义五百年发展历程的坎坷与辉煌，以及中国特色社会主义的艰辛探索与成功实践。</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宋体" w:hAnsi="宋体" w:cs="宋体"/>
                <w:b/>
                <w:color w:val="FF0000"/>
                <w:szCs w:val="21"/>
              </w:rPr>
            </w:pPr>
            <w:r>
              <w:rPr>
                <w:rFonts w:ascii="宋体" w:hAnsi="宋体" w:cs="宋体"/>
                <w:b/>
                <w:color w:val="FF0000"/>
                <w:szCs w:val="21"/>
              </w:rPr>
              <w:t>16</w:t>
            </w:r>
          </w:p>
        </w:tc>
      </w:tr>
    </w:tbl>
    <w:p>
      <w:pPr>
        <w:pStyle w:val="45"/>
        <w:numPr>
          <w:ilvl w:val="0"/>
          <w:numId w:val="3"/>
        </w:numPr>
        <w:ind w:firstLineChars="0"/>
        <w:rPr>
          <w:rFonts w:hint="eastAsia" w:ascii="宋体" w:hAnsi="宋体" w:eastAsia="宋体" w:cs="宋体"/>
          <w:b w:val="0"/>
          <w:bCs/>
        </w:rPr>
      </w:pPr>
      <w:r>
        <w:rPr>
          <w:rFonts w:hint="eastAsia" w:ascii="宋体" w:hAnsi="宋体" w:eastAsia="宋体" w:cs="宋体"/>
          <w:b w:val="0"/>
          <w:bCs/>
        </w:rPr>
        <w:t>职业素质课程设计</w:t>
      </w:r>
    </w:p>
    <w:p>
      <w:pPr>
        <w:pStyle w:val="34"/>
        <w:spacing w:before="156" w:beforeLines="50" w:line="360" w:lineRule="exact"/>
        <w:rPr>
          <w:rFonts w:hint="eastAsia" w:ascii="宋体"/>
          <w:color w:val="000000"/>
        </w:rPr>
      </w:pPr>
    </w:p>
    <w:tbl>
      <w:tblPr>
        <w:tblStyle w:val="2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1"/>
        <w:gridCol w:w="1131"/>
        <w:gridCol w:w="1069"/>
        <w:gridCol w:w="3149"/>
        <w:gridCol w:w="229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课程代码</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课程名称</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课程性质与地位</w:t>
            </w:r>
          </w:p>
        </w:tc>
        <w:tc>
          <w:tcPr>
            <w:tcW w:w="31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课程目标</w:t>
            </w:r>
          </w:p>
        </w:tc>
        <w:tc>
          <w:tcPr>
            <w:tcW w:w="22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主要教学内容与要求</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bookmarkStart w:id="124" w:name="_Hlk73099787"/>
            <w:r>
              <w:rPr>
                <w:rFonts w:ascii="宋体" w:hAnsi="宋体" w:cs="宋体"/>
                <w:color w:val="000000"/>
                <w:szCs w:val="21"/>
              </w:rPr>
              <w:t>510022044</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金融服务营销</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专业</w:t>
            </w:r>
          </w:p>
          <w:p>
            <w:pPr>
              <w:jc w:val="center"/>
              <w:rPr>
                <w:rFonts w:hint="eastAsia" w:ascii="宋体" w:hAnsi="宋体" w:cs="宋体"/>
                <w:color w:val="000000"/>
                <w:szCs w:val="21"/>
              </w:rPr>
            </w:pPr>
            <w:r>
              <w:rPr>
                <w:rFonts w:hint="eastAsia" w:ascii="宋体" w:hAnsi="宋体" w:cs="宋体"/>
                <w:color w:val="000000"/>
                <w:szCs w:val="21"/>
              </w:rPr>
              <w:t>基础课</w:t>
            </w:r>
          </w:p>
        </w:tc>
        <w:tc>
          <w:tcPr>
            <w:tcW w:w="3149" w:type="dxa"/>
            <w:tcBorders>
              <w:top w:val="single" w:color="000000" w:sz="4" w:space="0"/>
              <w:left w:val="single" w:color="000000" w:sz="4" w:space="0"/>
              <w:bottom w:val="single" w:color="000000" w:sz="4" w:space="0"/>
              <w:right w:val="single" w:color="000000" w:sz="4" w:space="0"/>
            </w:tcBorders>
            <w:vAlign w:val="center"/>
          </w:tcPr>
          <w:p>
            <w:pPr>
              <w:ind w:firstLine="211" w:firstLineChars="100"/>
              <w:rPr>
                <w:rFonts w:hint="eastAsia" w:ascii="宋体" w:hAnsi="宋体" w:cs="宋体"/>
                <w:b/>
                <w:color w:val="000000"/>
                <w:szCs w:val="21"/>
              </w:rPr>
            </w:pPr>
            <w:r>
              <w:rPr>
                <w:rFonts w:hint="eastAsia" w:ascii="宋体" w:hAnsi="宋体" w:cs="宋体"/>
                <w:b/>
                <w:color w:val="000000"/>
                <w:szCs w:val="21"/>
              </w:rPr>
              <w:t>通过金融服务营销课程各项目内容的学习与实践活动，要求学生了解并运用金融服务营销的基础知识，掌握金融服务营销各项任务所要求的基本职业能力，养成具有敬业精神、团队精神和求索精神，具有良好人际沟</w:t>
            </w:r>
          </w:p>
          <w:p>
            <w:pPr>
              <w:rPr>
                <w:rFonts w:hint="eastAsia" w:ascii="宋体" w:hAnsi="宋体" w:cs="宋体"/>
                <w:b/>
                <w:color w:val="000000"/>
                <w:szCs w:val="21"/>
              </w:rPr>
            </w:pPr>
            <w:r>
              <w:rPr>
                <w:rFonts w:hint="eastAsia" w:ascii="宋体" w:hAnsi="宋体" w:cs="宋体"/>
                <w:b/>
                <w:color w:val="000000"/>
                <w:szCs w:val="21"/>
              </w:rPr>
              <w:t>通能力和职业道德的品格，为上岗就业做好准备。</w:t>
            </w:r>
          </w:p>
        </w:tc>
        <w:tc>
          <w:tcPr>
            <w:tcW w:w="22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Cs w:val="21"/>
              </w:rPr>
            </w:pPr>
            <w:r>
              <w:rPr>
                <w:rFonts w:hint="eastAsia" w:ascii="宋体" w:hAnsi="宋体"/>
                <w:color w:val="000000"/>
                <w:szCs w:val="21"/>
              </w:rPr>
              <w:t xml:space="preserve">  金 融 服 务 及 评</w:t>
            </w:r>
          </w:p>
          <w:p>
            <w:pPr>
              <w:jc w:val="left"/>
              <w:rPr>
                <w:rFonts w:hint="eastAsia" w:ascii="宋体" w:hAnsi="宋体"/>
                <w:color w:val="000000"/>
                <w:szCs w:val="21"/>
              </w:rPr>
            </w:pPr>
            <w:r>
              <w:rPr>
                <w:rFonts w:hint="eastAsia" w:ascii="宋体" w:hAnsi="宋体"/>
                <w:color w:val="000000"/>
                <w:szCs w:val="21"/>
              </w:rPr>
              <w:t>价；金融营销准备；金融营销能力（包括网络营销）；金融营销技巧；金融客户维护与培育；金融消费者管理；金融客户资产管理；金融客户关系管理；金融客户风险管理。</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ascii="宋体" w:hAnsi="宋体" w:cs="宋体"/>
                <w:b/>
                <w:color w:val="000000"/>
                <w:szCs w:val="21"/>
              </w:rPr>
              <w:t>6</w:t>
            </w:r>
            <w:r>
              <w:rPr>
                <w:rFonts w:hint="eastAsia" w:ascii="宋体" w:hAnsi="宋体" w:cs="宋体"/>
                <w:b/>
                <w:color w:val="00000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ascii="宋体" w:hAnsi="宋体" w:cs="宋体"/>
                <w:color w:val="000000"/>
                <w:szCs w:val="21"/>
              </w:rPr>
              <w:t>510022045</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金融服务礼仪</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专业</w:t>
            </w:r>
          </w:p>
          <w:p>
            <w:pPr>
              <w:jc w:val="center"/>
              <w:rPr>
                <w:rFonts w:hint="eastAsia" w:ascii="宋体" w:hAnsi="宋体" w:cs="宋体"/>
                <w:color w:val="000000"/>
                <w:szCs w:val="21"/>
              </w:rPr>
            </w:pPr>
            <w:r>
              <w:rPr>
                <w:rFonts w:hint="eastAsia" w:ascii="宋体" w:hAnsi="宋体" w:cs="宋体"/>
                <w:color w:val="000000"/>
                <w:szCs w:val="21"/>
              </w:rPr>
              <w:t>基础课</w:t>
            </w:r>
          </w:p>
        </w:tc>
        <w:tc>
          <w:tcPr>
            <w:tcW w:w="3149" w:type="dxa"/>
            <w:tcBorders>
              <w:top w:val="single" w:color="000000" w:sz="4" w:space="0"/>
              <w:left w:val="single" w:color="000000" w:sz="4" w:space="0"/>
              <w:bottom w:val="single" w:color="000000" w:sz="4" w:space="0"/>
              <w:right w:val="single" w:color="000000" w:sz="4" w:space="0"/>
            </w:tcBorders>
            <w:vAlign w:val="center"/>
          </w:tcPr>
          <w:p>
            <w:pPr>
              <w:ind w:firstLine="211" w:firstLineChars="100"/>
              <w:rPr>
                <w:rFonts w:hint="eastAsia" w:ascii="宋体" w:hAnsi="宋体" w:cs="宋体"/>
                <w:b/>
                <w:color w:val="000000"/>
                <w:szCs w:val="21"/>
              </w:rPr>
            </w:pPr>
            <w:r>
              <w:rPr>
                <w:rFonts w:hint="eastAsia" w:ascii="宋体" w:hAnsi="宋体" w:cs="宋体"/>
                <w:b/>
                <w:color w:val="000000"/>
                <w:szCs w:val="21"/>
              </w:rPr>
              <w:t>通过金融服务礼仪课程的学习，帮助学生了解服务礼仪的重要性，掌握礼仪基础知识和基本要求，陶冶礼仪与道德情操，养成良好职业礼仪行为，提升个人职业素养。使其成为适应金融行业发展需求、具有合格岗位技能</w:t>
            </w:r>
          </w:p>
          <w:p>
            <w:pPr>
              <w:rPr>
                <w:rFonts w:hint="eastAsia" w:ascii="宋体" w:hAnsi="宋体" w:cs="宋体"/>
                <w:b/>
                <w:color w:val="000000"/>
                <w:szCs w:val="21"/>
              </w:rPr>
            </w:pPr>
            <w:r>
              <w:rPr>
                <w:rFonts w:hint="eastAsia" w:ascii="宋体" w:hAnsi="宋体" w:cs="宋体"/>
                <w:b/>
                <w:color w:val="000000"/>
                <w:szCs w:val="21"/>
              </w:rPr>
              <w:t>的金融行业从业人员。</w:t>
            </w:r>
          </w:p>
        </w:tc>
        <w:tc>
          <w:tcPr>
            <w:tcW w:w="22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Cs w:val="21"/>
              </w:rPr>
            </w:pPr>
            <w:r>
              <w:rPr>
                <w:rFonts w:hint="eastAsia" w:ascii="宋体" w:hAnsi="宋体"/>
                <w:color w:val="000000"/>
                <w:szCs w:val="21"/>
              </w:rPr>
              <w:t>金融服务礼仪的本质和基本要求；互联网金融下的金融行业工作人员的服务意识与礼仪修养；金融行业工作</w:t>
            </w:r>
          </w:p>
          <w:p>
            <w:pPr>
              <w:jc w:val="left"/>
              <w:rPr>
                <w:rFonts w:hint="eastAsia" w:ascii="宋体" w:hAnsi="宋体"/>
                <w:color w:val="000000"/>
                <w:szCs w:val="21"/>
              </w:rPr>
            </w:pPr>
            <w:r>
              <w:rPr>
                <w:rFonts w:hint="eastAsia" w:ascii="宋体" w:hAnsi="宋体"/>
                <w:color w:val="000000"/>
                <w:szCs w:val="21"/>
              </w:rPr>
              <w:t>人员的仪表礼仪、仪态礼仪、语言礼仪；金融行业工作人员日常交际礼仪；金融行业网络服务过程中的礼仪规范；会议与宴请服务礼仪；电话服务礼仪；接待服务礼仪。</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6</w:t>
            </w:r>
            <w:r>
              <w:rPr>
                <w:rFonts w:ascii="宋体" w:hAnsi="宋体" w:cs="宋体"/>
                <w:b/>
                <w:color w:val="00000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ascii="宋体" w:hAnsi="宋体" w:cs="宋体"/>
                <w:color w:val="000000"/>
                <w:szCs w:val="21"/>
              </w:rPr>
              <w:t>510011009</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客户关系管理</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专业</w:t>
            </w:r>
          </w:p>
          <w:p>
            <w:pPr>
              <w:jc w:val="center"/>
              <w:rPr>
                <w:rFonts w:hint="eastAsia" w:ascii="宋体" w:hAnsi="宋体" w:cs="宋体"/>
                <w:color w:val="000000"/>
                <w:szCs w:val="21"/>
              </w:rPr>
            </w:pPr>
            <w:r>
              <w:rPr>
                <w:rFonts w:hint="eastAsia" w:ascii="宋体" w:hAnsi="宋体" w:cs="宋体"/>
                <w:color w:val="000000"/>
                <w:szCs w:val="21"/>
              </w:rPr>
              <w:t>基础课</w:t>
            </w:r>
          </w:p>
        </w:tc>
        <w:tc>
          <w:tcPr>
            <w:tcW w:w="3149" w:type="dxa"/>
            <w:tcBorders>
              <w:top w:val="single" w:color="000000" w:sz="4" w:space="0"/>
              <w:left w:val="single" w:color="000000" w:sz="4" w:space="0"/>
              <w:bottom w:val="single" w:color="000000" w:sz="4" w:space="0"/>
              <w:right w:val="single" w:color="000000" w:sz="4" w:space="0"/>
            </w:tcBorders>
            <w:vAlign w:val="center"/>
          </w:tcPr>
          <w:p>
            <w:pPr>
              <w:ind w:firstLine="211" w:firstLineChars="100"/>
              <w:rPr>
                <w:rFonts w:hint="eastAsia" w:ascii="宋体" w:hAnsi="宋体" w:cs="宋体"/>
                <w:b/>
                <w:color w:val="000000"/>
                <w:szCs w:val="21"/>
              </w:rPr>
            </w:pPr>
            <w:r>
              <w:rPr>
                <w:rFonts w:hint="eastAsia" w:ascii="宋体" w:hAnsi="宋体" w:cs="宋体"/>
                <w:b/>
                <w:color w:val="000000"/>
                <w:szCs w:val="21"/>
              </w:rPr>
              <w:t>使学生掌握客户关系的理念和技术、着重传授客户关系关系管理的策略，即如何建立、维护和挽救客户关系等。</w:t>
            </w:r>
          </w:p>
        </w:tc>
        <w:tc>
          <w:tcPr>
            <w:tcW w:w="22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Cs w:val="21"/>
              </w:rPr>
            </w:pPr>
            <w:r>
              <w:rPr>
                <w:rFonts w:hint="eastAsia" w:ascii="宋体" w:hAnsi="宋体"/>
                <w:color w:val="000000"/>
                <w:szCs w:val="21"/>
              </w:rPr>
              <w:t>理解客户关系管理的内涵、思路。掌握客户关系管理技术；掌握客户开发、选择、维护、分级和客户沟通等，提升客户满意度。</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6</w:t>
            </w:r>
            <w:r>
              <w:rPr>
                <w:rFonts w:ascii="宋体" w:hAnsi="宋体" w:cs="宋体"/>
                <w:b/>
                <w:color w:val="000000"/>
                <w:szCs w:val="21"/>
              </w:rPr>
              <w:t>0</w:t>
            </w:r>
          </w:p>
        </w:tc>
      </w:tr>
      <w:bookmarkEnd w:id="12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ascii="宋体" w:hAnsi="宋体" w:cs="宋体"/>
                <w:color w:val="000000"/>
                <w:szCs w:val="21"/>
              </w:rPr>
              <w:t>510022043</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经济数学基础</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专业</w:t>
            </w:r>
          </w:p>
          <w:p>
            <w:pPr>
              <w:jc w:val="center"/>
              <w:rPr>
                <w:rFonts w:hint="eastAsia" w:ascii="宋体" w:hAnsi="宋体" w:cs="宋体"/>
                <w:color w:val="000000"/>
                <w:szCs w:val="21"/>
              </w:rPr>
            </w:pPr>
            <w:r>
              <w:rPr>
                <w:rFonts w:hint="eastAsia" w:ascii="宋体" w:hAnsi="宋体" w:cs="宋体"/>
                <w:color w:val="000000"/>
                <w:szCs w:val="21"/>
              </w:rPr>
              <w:t>基础课</w:t>
            </w:r>
          </w:p>
        </w:tc>
        <w:tc>
          <w:tcPr>
            <w:tcW w:w="3149" w:type="dxa"/>
            <w:tcBorders>
              <w:top w:val="single" w:color="000000" w:sz="4" w:space="0"/>
              <w:left w:val="single" w:color="000000" w:sz="4" w:space="0"/>
              <w:bottom w:val="single" w:color="000000" w:sz="4" w:space="0"/>
              <w:right w:val="single" w:color="000000" w:sz="4" w:space="0"/>
            </w:tcBorders>
            <w:vAlign w:val="center"/>
          </w:tcPr>
          <w:p>
            <w:pPr>
              <w:ind w:firstLine="210" w:firstLineChars="100"/>
              <w:rPr>
                <w:rFonts w:hint="eastAsia" w:ascii="宋体" w:hAnsi="宋体"/>
                <w:color w:val="000000"/>
                <w:szCs w:val="21"/>
              </w:rPr>
            </w:pPr>
            <w:r>
              <w:rPr>
                <w:rFonts w:hint="eastAsia" w:ascii="宋体" w:hAnsi="宋体"/>
                <w:color w:val="000000"/>
                <w:szCs w:val="21"/>
              </w:rPr>
              <w:t>本课程包括：微积分、线性代数、概率论与数理统计。</w:t>
            </w:r>
          </w:p>
          <w:p>
            <w:pPr>
              <w:ind w:firstLine="210" w:firstLineChars="100"/>
              <w:rPr>
                <w:rFonts w:hint="eastAsia" w:ascii="宋体" w:hAnsi="宋体"/>
                <w:color w:val="000000"/>
                <w:szCs w:val="21"/>
              </w:rPr>
            </w:pPr>
            <w:r>
              <w:rPr>
                <w:rFonts w:hint="eastAsia" w:ascii="宋体" w:hAnsi="宋体"/>
                <w:color w:val="000000"/>
                <w:szCs w:val="21"/>
              </w:rPr>
              <w:t>本课程是互联网金融乃至所有经济专业的第一道基础门槛课程，为后续所有的课程打下良好的基础与入门的必备专业能力。不仅有助于学生专业课程的学习，而且为进一步深造所必需的重要数学知识提供基础。</w:t>
            </w:r>
          </w:p>
          <w:p>
            <w:pPr>
              <w:ind w:firstLine="210" w:firstLineChars="100"/>
              <w:rPr>
                <w:rFonts w:ascii="宋体" w:hAnsi="宋体"/>
                <w:color w:val="000000"/>
                <w:szCs w:val="21"/>
              </w:rPr>
            </w:pPr>
            <w:r>
              <w:rPr>
                <w:rFonts w:hint="eastAsia" w:ascii="宋体" w:hAnsi="宋体"/>
                <w:color w:val="000000"/>
                <w:szCs w:val="21"/>
              </w:rPr>
              <w:t>微积分、线性代数和概论与数理统计在现代科学技术当中具有重要的地位，是解决实际经济问题的一种有力的数学工具，同时也是提高基础能力绕不开的关键所在。</w:t>
            </w:r>
          </w:p>
        </w:tc>
        <w:tc>
          <w:tcPr>
            <w:tcW w:w="22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Cs w:val="21"/>
              </w:rPr>
            </w:pPr>
            <w:r>
              <w:rPr>
                <w:rFonts w:hint="eastAsia" w:ascii="宋体" w:hAnsi="宋体"/>
                <w:color w:val="000000"/>
                <w:szCs w:val="21"/>
              </w:rPr>
              <w:t>微积分包括：</w:t>
            </w:r>
          </w:p>
          <w:p>
            <w:pPr>
              <w:jc w:val="left"/>
              <w:rPr>
                <w:rFonts w:hint="eastAsia" w:ascii="宋体" w:hAnsi="宋体"/>
                <w:color w:val="000000"/>
                <w:szCs w:val="21"/>
              </w:rPr>
            </w:pPr>
            <w:r>
              <w:rPr>
                <w:rFonts w:hint="eastAsia" w:ascii="宋体" w:hAnsi="宋体"/>
                <w:color w:val="000000"/>
                <w:szCs w:val="21"/>
              </w:rPr>
              <w:t>1、函数和极限</w:t>
            </w:r>
          </w:p>
          <w:p>
            <w:pPr>
              <w:jc w:val="left"/>
              <w:rPr>
                <w:rFonts w:hint="eastAsia" w:ascii="宋体" w:hAnsi="宋体"/>
                <w:color w:val="000000"/>
                <w:szCs w:val="21"/>
              </w:rPr>
            </w:pPr>
            <w:r>
              <w:rPr>
                <w:rFonts w:hint="eastAsia" w:ascii="宋体" w:hAnsi="宋体"/>
                <w:color w:val="000000"/>
                <w:szCs w:val="21"/>
              </w:rPr>
              <w:t>2、导数与微分</w:t>
            </w:r>
          </w:p>
          <w:p>
            <w:pPr>
              <w:jc w:val="left"/>
              <w:rPr>
                <w:rFonts w:hint="eastAsia" w:ascii="宋体" w:hAnsi="宋体"/>
                <w:color w:val="000000"/>
                <w:szCs w:val="21"/>
              </w:rPr>
            </w:pPr>
            <w:r>
              <w:rPr>
                <w:rFonts w:hint="eastAsia" w:ascii="宋体" w:hAnsi="宋体"/>
                <w:color w:val="000000"/>
                <w:szCs w:val="21"/>
              </w:rPr>
              <w:t>3、不定积分</w:t>
            </w:r>
          </w:p>
          <w:p>
            <w:pPr>
              <w:jc w:val="left"/>
              <w:rPr>
                <w:rFonts w:hint="eastAsia" w:ascii="宋体" w:hAnsi="宋体"/>
                <w:color w:val="000000"/>
                <w:szCs w:val="21"/>
              </w:rPr>
            </w:pPr>
            <w:r>
              <w:rPr>
                <w:rFonts w:hint="eastAsia" w:ascii="宋体" w:hAnsi="宋体"/>
                <w:color w:val="000000"/>
                <w:szCs w:val="21"/>
              </w:rPr>
              <w:t>4、定积分</w:t>
            </w:r>
          </w:p>
          <w:p>
            <w:pPr>
              <w:jc w:val="left"/>
              <w:rPr>
                <w:rFonts w:hint="eastAsia" w:ascii="宋体" w:hAnsi="宋体"/>
                <w:color w:val="000000"/>
                <w:szCs w:val="21"/>
              </w:rPr>
            </w:pPr>
            <w:r>
              <w:rPr>
                <w:rFonts w:hint="eastAsia" w:ascii="宋体" w:hAnsi="宋体"/>
                <w:color w:val="000000"/>
                <w:szCs w:val="21"/>
              </w:rPr>
              <w:t>5、微分方程</w:t>
            </w:r>
          </w:p>
          <w:p>
            <w:pPr>
              <w:jc w:val="left"/>
              <w:rPr>
                <w:rFonts w:hint="eastAsia" w:ascii="宋体" w:hAnsi="宋体"/>
                <w:color w:val="000000"/>
                <w:szCs w:val="21"/>
              </w:rPr>
            </w:pPr>
            <w:r>
              <w:rPr>
                <w:rFonts w:hint="eastAsia" w:ascii="宋体" w:hAnsi="宋体"/>
                <w:color w:val="000000"/>
                <w:szCs w:val="21"/>
              </w:rPr>
              <w:t>6、重积分</w:t>
            </w:r>
          </w:p>
          <w:p>
            <w:pPr>
              <w:jc w:val="left"/>
              <w:rPr>
                <w:rFonts w:hint="eastAsia" w:ascii="宋体" w:hAnsi="宋体"/>
                <w:color w:val="000000"/>
                <w:szCs w:val="21"/>
              </w:rPr>
            </w:pPr>
            <w:r>
              <w:rPr>
                <w:rFonts w:hint="eastAsia" w:ascii="宋体" w:hAnsi="宋体"/>
                <w:color w:val="000000"/>
                <w:szCs w:val="21"/>
              </w:rPr>
              <w:t>7、无穷级数</w:t>
            </w:r>
          </w:p>
          <w:p>
            <w:pPr>
              <w:jc w:val="left"/>
              <w:rPr>
                <w:rFonts w:hint="eastAsia" w:ascii="宋体" w:hAnsi="宋体"/>
                <w:color w:val="000000"/>
                <w:szCs w:val="21"/>
              </w:rPr>
            </w:pPr>
            <w:r>
              <w:rPr>
                <w:rFonts w:hint="eastAsia" w:ascii="宋体" w:hAnsi="宋体"/>
                <w:color w:val="000000"/>
                <w:szCs w:val="21"/>
              </w:rPr>
              <w:t>线性代数包括：</w:t>
            </w:r>
          </w:p>
          <w:p>
            <w:pPr>
              <w:jc w:val="left"/>
              <w:rPr>
                <w:rFonts w:hint="eastAsia" w:ascii="宋体" w:hAnsi="宋体"/>
                <w:color w:val="000000"/>
                <w:szCs w:val="21"/>
              </w:rPr>
            </w:pPr>
            <w:r>
              <w:rPr>
                <w:rFonts w:hint="eastAsia" w:ascii="宋体" w:hAnsi="宋体"/>
                <w:color w:val="000000"/>
                <w:szCs w:val="21"/>
              </w:rPr>
              <w:t>1、行列式</w:t>
            </w:r>
          </w:p>
          <w:p>
            <w:pPr>
              <w:jc w:val="left"/>
              <w:rPr>
                <w:rFonts w:hint="eastAsia" w:ascii="宋体" w:hAnsi="宋体"/>
                <w:color w:val="000000"/>
                <w:szCs w:val="21"/>
              </w:rPr>
            </w:pPr>
            <w:r>
              <w:rPr>
                <w:rFonts w:hint="eastAsia" w:ascii="宋体" w:hAnsi="宋体"/>
                <w:color w:val="000000"/>
                <w:szCs w:val="21"/>
              </w:rPr>
              <w:t>2、矩阵</w:t>
            </w:r>
          </w:p>
          <w:p>
            <w:pPr>
              <w:jc w:val="left"/>
              <w:rPr>
                <w:rFonts w:hint="eastAsia" w:ascii="宋体" w:hAnsi="宋体"/>
                <w:color w:val="000000"/>
                <w:szCs w:val="21"/>
              </w:rPr>
            </w:pPr>
            <w:r>
              <w:rPr>
                <w:rFonts w:hint="eastAsia" w:ascii="宋体" w:hAnsi="宋体"/>
                <w:color w:val="000000"/>
                <w:szCs w:val="21"/>
              </w:rPr>
              <w:t>3、线性方程组</w:t>
            </w:r>
          </w:p>
          <w:p>
            <w:pPr>
              <w:jc w:val="left"/>
              <w:rPr>
                <w:rFonts w:hint="eastAsia" w:ascii="宋体" w:hAnsi="宋体"/>
                <w:color w:val="000000"/>
                <w:szCs w:val="21"/>
              </w:rPr>
            </w:pPr>
            <w:r>
              <w:rPr>
                <w:rFonts w:hint="eastAsia" w:ascii="宋体" w:hAnsi="宋体"/>
                <w:color w:val="000000"/>
                <w:szCs w:val="21"/>
              </w:rPr>
              <w:t>4、向量组的线性相关</w:t>
            </w:r>
          </w:p>
          <w:p>
            <w:pPr>
              <w:jc w:val="left"/>
              <w:rPr>
                <w:rFonts w:hint="eastAsia" w:ascii="宋体" w:hAnsi="宋体"/>
                <w:color w:val="000000"/>
                <w:szCs w:val="21"/>
              </w:rPr>
            </w:pPr>
            <w:r>
              <w:rPr>
                <w:rFonts w:hint="eastAsia" w:ascii="宋体" w:hAnsi="宋体"/>
                <w:color w:val="000000"/>
                <w:szCs w:val="21"/>
              </w:rPr>
              <w:t>概率论与数理统计：</w:t>
            </w:r>
          </w:p>
          <w:p>
            <w:pPr>
              <w:jc w:val="left"/>
              <w:rPr>
                <w:rFonts w:hint="eastAsia" w:ascii="宋体" w:hAnsi="宋体"/>
                <w:color w:val="000000"/>
                <w:szCs w:val="21"/>
              </w:rPr>
            </w:pPr>
            <w:r>
              <w:rPr>
                <w:rFonts w:hint="eastAsia" w:ascii="宋体" w:hAnsi="宋体"/>
                <w:color w:val="000000"/>
                <w:szCs w:val="21"/>
              </w:rPr>
              <w:t>1、概率论的基本概念</w:t>
            </w:r>
          </w:p>
          <w:p>
            <w:pPr>
              <w:jc w:val="left"/>
              <w:rPr>
                <w:rFonts w:hint="eastAsia" w:ascii="宋体" w:hAnsi="宋体"/>
                <w:color w:val="000000"/>
                <w:szCs w:val="21"/>
              </w:rPr>
            </w:pPr>
            <w:r>
              <w:rPr>
                <w:rFonts w:hint="eastAsia" w:ascii="宋体" w:hAnsi="宋体"/>
                <w:color w:val="000000"/>
                <w:szCs w:val="21"/>
              </w:rPr>
              <w:t>2、随机变量及其分布</w:t>
            </w:r>
          </w:p>
          <w:p>
            <w:pPr>
              <w:jc w:val="left"/>
              <w:rPr>
                <w:rFonts w:hint="eastAsia" w:ascii="宋体" w:hAnsi="宋体"/>
                <w:color w:val="000000"/>
                <w:szCs w:val="21"/>
              </w:rPr>
            </w:pPr>
            <w:r>
              <w:rPr>
                <w:rFonts w:hint="eastAsia" w:ascii="宋体" w:hAnsi="宋体"/>
                <w:color w:val="000000"/>
                <w:szCs w:val="21"/>
              </w:rPr>
              <w:t>3、多维随机变量及其分布</w:t>
            </w:r>
          </w:p>
          <w:p>
            <w:pPr>
              <w:jc w:val="left"/>
              <w:rPr>
                <w:rFonts w:hint="eastAsia" w:ascii="宋体" w:hAnsi="宋体"/>
                <w:color w:val="000000"/>
                <w:szCs w:val="21"/>
              </w:rPr>
            </w:pPr>
            <w:r>
              <w:rPr>
                <w:rFonts w:hint="eastAsia" w:ascii="宋体" w:hAnsi="宋体"/>
                <w:color w:val="000000"/>
                <w:szCs w:val="21"/>
              </w:rPr>
              <w:t>4、随机变量的数字特征</w:t>
            </w:r>
          </w:p>
          <w:p>
            <w:pPr>
              <w:jc w:val="left"/>
              <w:rPr>
                <w:rFonts w:hint="eastAsia" w:ascii="宋体" w:hAnsi="宋体"/>
                <w:color w:val="000000"/>
                <w:szCs w:val="21"/>
              </w:rPr>
            </w:pPr>
            <w:r>
              <w:rPr>
                <w:rFonts w:hint="eastAsia" w:ascii="宋体" w:hAnsi="宋体"/>
                <w:color w:val="000000"/>
                <w:szCs w:val="21"/>
              </w:rPr>
              <w:t>5、大数定律与中心极限定理</w:t>
            </w:r>
          </w:p>
          <w:p>
            <w:pPr>
              <w:jc w:val="left"/>
              <w:rPr>
                <w:rFonts w:hint="default" w:ascii="宋体" w:hAnsi="宋体" w:eastAsia="宋体"/>
                <w:color w:val="000000"/>
                <w:szCs w:val="21"/>
                <w:lang w:val="en-US" w:eastAsia="zh-CN"/>
              </w:rPr>
            </w:pPr>
            <w:r>
              <w:rPr>
                <w:rFonts w:hint="eastAsia" w:ascii="宋体" w:hAnsi="宋体"/>
                <w:color w:val="000000"/>
                <w:szCs w:val="21"/>
                <w:lang w:val="en-US" w:eastAsia="zh-CN"/>
              </w:rPr>
              <w:t>7、常用统计分布</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ascii="宋体" w:hAnsi="宋体" w:cs="宋体"/>
                <w:b/>
                <w:color w:val="00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ascii="宋体" w:hAnsi="宋体" w:cs="宋体"/>
                <w:color w:val="FF0000"/>
                <w:szCs w:val="21"/>
              </w:rPr>
              <w:t>510022042</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hint="eastAsia" w:ascii="宋体" w:hAnsi="宋体" w:cs="宋体"/>
                <w:color w:val="FF0000"/>
                <w:szCs w:val="21"/>
              </w:rPr>
              <w:t>公司理财</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hint="eastAsia" w:ascii="宋体" w:hAnsi="宋体" w:cs="宋体"/>
                <w:color w:val="FF0000"/>
                <w:szCs w:val="21"/>
              </w:rPr>
              <w:t>专业</w:t>
            </w:r>
          </w:p>
          <w:p>
            <w:pPr>
              <w:jc w:val="center"/>
              <w:rPr>
                <w:rFonts w:hint="eastAsia" w:ascii="宋体" w:hAnsi="宋体" w:cs="宋体"/>
                <w:color w:val="FF0000"/>
                <w:szCs w:val="21"/>
              </w:rPr>
            </w:pPr>
            <w:r>
              <w:rPr>
                <w:rFonts w:hint="eastAsia" w:ascii="宋体" w:hAnsi="宋体" w:cs="宋体"/>
                <w:color w:val="FF0000"/>
                <w:szCs w:val="21"/>
              </w:rPr>
              <w:t>基础课</w:t>
            </w:r>
          </w:p>
        </w:tc>
        <w:tc>
          <w:tcPr>
            <w:tcW w:w="314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olor w:val="FF0000"/>
                <w:szCs w:val="21"/>
              </w:rPr>
            </w:pPr>
            <w:r>
              <w:rPr>
                <w:rFonts w:hint="eastAsia" w:ascii="宋体" w:hAnsi="宋体"/>
                <w:color w:val="FF0000"/>
                <w:szCs w:val="21"/>
              </w:rPr>
              <w:t>通过本课程的学习，使学生掌握财务报表分析；未来现金流量估计方法，包括债券估值和股票估值；</w:t>
            </w:r>
          </w:p>
          <w:p>
            <w:pPr>
              <w:rPr>
                <w:rFonts w:hint="eastAsia" w:ascii="宋体" w:hAnsi="宋体"/>
                <w:color w:val="FF0000"/>
                <w:szCs w:val="21"/>
              </w:rPr>
            </w:pPr>
            <w:r>
              <w:rPr>
                <w:rFonts w:hint="eastAsia" w:ascii="宋体" w:hAnsi="宋体"/>
                <w:color w:val="FF0000"/>
                <w:szCs w:val="21"/>
              </w:rPr>
              <w:t>风险与报酬；短、长期财务计划。是后续课程的重要的基础课。</w:t>
            </w:r>
          </w:p>
        </w:tc>
        <w:tc>
          <w:tcPr>
            <w:tcW w:w="229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olor w:val="FF0000"/>
                <w:szCs w:val="21"/>
              </w:rPr>
            </w:pPr>
            <w:r>
              <w:rPr>
                <w:rFonts w:hint="eastAsia" w:ascii="宋体" w:hAnsi="宋体"/>
                <w:color w:val="FF0000"/>
                <w:szCs w:val="21"/>
              </w:rPr>
              <w:t>1</w:t>
            </w:r>
            <w:r>
              <w:rPr>
                <w:rFonts w:ascii="宋体" w:hAnsi="宋体"/>
                <w:color w:val="FF0000"/>
                <w:szCs w:val="21"/>
              </w:rPr>
              <w:t>.</w:t>
            </w:r>
            <w:r>
              <w:rPr>
                <w:rFonts w:hint="eastAsia" w:ascii="宋体" w:hAnsi="宋体"/>
                <w:color w:val="FF0000"/>
                <w:szCs w:val="21"/>
              </w:rPr>
              <w:t>公司理财概述</w:t>
            </w:r>
          </w:p>
          <w:p>
            <w:pPr>
              <w:rPr>
                <w:rFonts w:hint="eastAsia" w:ascii="宋体" w:hAnsi="宋体"/>
                <w:color w:val="FF0000"/>
                <w:szCs w:val="21"/>
              </w:rPr>
            </w:pPr>
            <w:r>
              <w:rPr>
                <w:rFonts w:hint="eastAsia" w:ascii="宋体" w:hAnsi="宋体"/>
                <w:color w:val="FF0000"/>
                <w:szCs w:val="21"/>
              </w:rPr>
              <w:t>2、</w:t>
            </w:r>
            <w:r>
              <w:rPr>
                <w:rFonts w:hint="eastAsia" w:ascii="宋体" w:hAnsi="宋体"/>
                <w:color w:val="FF0000"/>
                <w:szCs w:val="21"/>
              </w:rPr>
              <w:tab/>
            </w:r>
            <w:r>
              <w:rPr>
                <w:rFonts w:hint="eastAsia" w:ascii="宋体" w:hAnsi="宋体"/>
                <w:color w:val="FF0000"/>
                <w:szCs w:val="21"/>
              </w:rPr>
              <w:t>财务报表介绍与运用</w:t>
            </w:r>
          </w:p>
          <w:p>
            <w:pPr>
              <w:rPr>
                <w:rFonts w:hint="eastAsia" w:ascii="宋体" w:hAnsi="宋体"/>
                <w:color w:val="FF0000"/>
                <w:szCs w:val="21"/>
              </w:rPr>
            </w:pPr>
            <w:r>
              <w:rPr>
                <w:rFonts w:hint="eastAsia" w:ascii="宋体" w:hAnsi="宋体"/>
                <w:color w:val="FF0000"/>
                <w:szCs w:val="21"/>
              </w:rPr>
              <w:t>3、</w:t>
            </w:r>
            <w:r>
              <w:rPr>
                <w:rFonts w:hint="eastAsia" w:ascii="宋体" w:hAnsi="宋体"/>
                <w:color w:val="FF0000"/>
                <w:szCs w:val="21"/>
              </w:rPr>
              <w:tab/>
            </w:r>
            <w:r>
              <w:rPr>
                <w:rFonts w:hint="eastAsia" w:ascii="宋体" w:hAnsi="宋体"/>
                <w:color w:val="FF0000"/>
                <w:szCs w:val="21"/>
              </w:rPr>
              <w:t>货币时间价值</w:t>
            </w:r>
          </w:p>
          <w:p>
            <w:pPr>
              <w:rPr>
                <w:rFonts w:hint="eastAsia" w:ascii="宋体" w:hAnsi="宋体"/>
                <w:color w:val="FF0000"/>
                <w:szCs w:val="21"/>
              </w:rPr>
            </w:pPr>
            <w:r>
              <w:rPr>
                <w:rFonts w:hint="eastAsia" w:ascii="宋体" w:hAnsi="宋体"/>
                <w:color w:val="FF0000"/>
                <w:szCs w:val="21"/>
              </w:rPr>
              <w:t>4、</w:t>
            </w:r>
            <w:r>
              <w:rPr>
                <w:rFonts w:hint="eastAsia" w:ascii="宋体" w:hAnsi="宋体"/>
                <w:color w:val="FF0000"/>
                <w:szCs w:val="21"/>
              </w:rPr>
              <w:tab/>
            </w:r>
            <w:r>
              <w:rPr>
                <w:rFonts w:hint="eastAsia" w:ascii="宋体" w:hAnsi="宋体"/>
                <w:color w:val="FF0000"/>
                <w:szCs w:val="21"/>
              </w:rPr>
              <w:t>债券估值</w:t>
            </w:r>
          </w:p>
          <w:p>
            <w:pPr>
              <w:rPr>
                <w:rFonts w:hint="eastAsia" w:ascii="宋体" w:hAnsi="宋体"/>
                <w:color w:val="FF0000"/>
                <w:szCs w:val="21"/>
              </w:rPr>
            </w:pPr>
            <w:r>
              <w:rPr>
                <w:rFonts w:hint="eastAsia" w:ascii="宋体" w:hAnsi="宋体"/>
                <w:color w:val="FF0000"/>
                <w:szCs w:val="21"/>
              </w:rPr>
              <w:t>5、</w:t>
            </w:r>
            <w:r>
              <w:rPr>
                <w:rFonts w:hint="eastAsia" w:ascii="宋体" w:hAnsi="宋体"/>
                <w:color w:val="FF0000"/>
                <w:szCs w:val="21"/>
              </w:rPr>
              <w:tab/>
            </w:r>
            <w:r>
              <w:rPr>
                <w:rFonts w:hint="eastAsia" w:ascii="宋体" w:hAnsi="宋体"/>
                <w:color w:val="FF0000"/>
                <w:szCs w:val="21"/>
              </w:rPr>
              <w:t>股票估值</w:t>
            </w:r>
          </w:p>
          <w:p>
            <w:pPr>
              <w:rPr>
                <w:rFonts w:hint="eastAsia" w:ascii="宋体" w:hAnsi="宋体"/>
                <w:color w:val="FF0000"/>
                <w:szCs w:val="21"/>
              </w:rPr>
            </w:pPr>
            <w:r>
              <w:rPr>
                <w:rFonts w:hint="eastAsia" w:ascii="宋体" w:hAnsi="宋体"/>
                <w:color w:val="FF0000"/>
                <w:szCs w:val="21"/>
              </w:rPr>
              <w:t>6、</w:t>
            </w:r>
            <w:r>
              <w:rPr>
                <w:rFonts w:hint="eastAsia" w:ascii="宋体" w:hAnsi="宋体"/>
                <w:color w:val="FF0000"/>
                <w:szCs w:val="21"/>
              </w:rPr>
              <w:tab/>
            </w:r>
            <w:r>
              <w:rPr>
                <w:rFonts w:hint="eastAsia" w:ascii="宋体" w:hAnsi="宋体"/>
                <w:color w:val="FF0000"/>
                <w:szCs w:val="21"/>
              </w:rPr>
              <w:t>风险与报酬</w:t>
            </w:r>
          </w:p>
          <w:p>
            <w:pPr>
              <w:rPr>
                <w:rFonts w:hint="eastAsia" w:ascii="宋体" w:hAnsi="宋体"/>
                <w:color w:val="FF0000"/>
                <w:szCs w:val="21"/>
              </w:rPr>
            </w:pPr>
            <w:r>
              <w:rPr>
                <w:rFonts w:hint="eastAsia" w:ascii="宋体" w:hAnsi="宋体"/>
                <w:color w:val="FF0000"/>
                <w:szCs w:val="21"/>
              </w:rPr>
              <w:t>7、</w:t>
            </w:r>
            <w:r>
              <w:rPr>
                <w:rFonts w:hint="eastAsia" w:ascii="宋体" w:hAnsi="宋体"/>
                <w:color w:val="FF0000"/>
                <w:szCs w:val="21"/>
              </w:rPr>
              <w:tab/>
            </w:r>
            <w:r>
              <w:rPr>
                <w:rFonts w:hint="eastAsia" w:ascii="宋体" w:hAnsi="宋体"/>
                <w:color w:val="FF0000"/>
                <w:szCs w:val="21"/>
              </w:rPr>
              <w:t>短、长期财务计划</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FF0000"/>
                <w:szCs w:val="21"/>
              </w:rPr>
            </w:pPr>
            <w:r>
              <w:rPr>
                <w:rFonts w:ascii="宋体" w:hAnsi="宋体" w:cs="宋体"/>
                <w:b/>
                <w:color w:val="FF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10011010</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rPr>
              <w:t>经济</w:t>
            </w:r>
            <w:r>
              <w:rPr>
                <w:rFonts w:hint="eastAsia" w:ascii="宋体" w:hAnsi="宋体" w:cs="宋体"/>
                <w:color w:val="000000"/>
                <w:szCs w:val="21"/>
                <w:lang w:val="en-US" w:eastAsia="zh-CN"/>
              </w:rPr>
              <w:t>基础</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Cs w:val="21"/>
              </w:rPr>
            </w:pPr>
            <w:r>
              <w:rPr>
                <w:rFonts w:hint="eastAsia" w:ascii="宋体" w:hAnsi="宋体"/>
                <w:color w:val="000000"/>
                <w:szCs w:val="21"/>
              </w:rPr>
              <w:t>专业</w:t>
            </w:r>
          </w:p>
          <w:p>
            <w:pPr>
              <w:jc w:val="center"/>
              <w:rPr>
                <w:rFonts w:hint="eastAsia" w:ascii="宋体" w:hAnsi="宋体"/>
                <w:color w:val="000000"/>
                <w:szCs w:val="21"/>
              </w:rPr>
            </w:pPr>
            <w:r>
              <w:rPr>
                <w:rFonts w:hint="eastAsia" w:ascii="宋体" w:hAnsi="宋体"/>
                <w:color w:val="000000"/>
                <w:szCs w:val="21"/>
              </w:rPr>
              <w:t>基础课</w:t>
            </w:r>
          </w:p>
        </w:tc>
        <w:tc>
          <w:tcPr>
            <w:tcW w:w="3149"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420" w:firstLineChars="200"/>
              <w:rPr>
                <w:rFonts w:hint="eastAsia" w:ascii="宋体" w:hAnsi="宋体"/>
                <w:color w:val="000000"/>
                <w:szCs w:val="21"/>
              </w:rPr>
            </w:pPr>
            <w:r>
              <w:rPr>
                <w:rFonts w:hint="eastAsia" w:ascii="宋体" w:hAnsi="宋体"/>
                <w:color w:val="000000"/>
                <w:szCs w:val="21"/>
              </w:rPr>
              <w:t>经济学对理解与指导金融科技应用专业人员进行理性决策都具有十分重要的作用。为金融专业的学习打下坚实的基础。管理学为学生未来职业生涯提升提供必要的管理知识储备。</w:t>
            </w:r>
          </w:p>
        </w:tc>
        <w:tc>
          <w:tcPr>
            <w:tcW w:w="2298" w:type="dxa"/>
            <w:tcBorders>
              <w:top w:val="single" w:color="000000" w:sz="4" w:space="0"/>
              <w:left w:val="single" w:color="000000" w:sz="4" w:space="0"/>
              <w:bottom w:val="single" w:color="000000" w:sz="4" w:space="0"/>
              <w:right w:val="single" w:color="000000" w:sz="4" w:space="0"/>
            </w:tcBorders>
            <w:vAlign w:val="center"/>
          </w:tcPr>
          <w:p>
            <w:pPr>
              <w:rPr>
                <w:color w:val="000000"/>
                <w:kern w:val="0"/>
                <w:szCs w:val="21"/>
              </w:rPr>
            </w:pPr>
            <w:r>
              <w:rPr>
                <w:rFonts w:hint="eastAsia"/>
                <w:color w:val="000000"/>
                <w:kern w:val="0"/>
                <w:szCs w:val="21"/>
              </w:rPr>
              <w:t>1</w:t>
            </w:r>
            <w:r>
              <w:rPr>
                <w:color w:val="000000"/>
                <w:kern w:val="0"/>
                <w:szCs w:val="21"/>
              </w:rPr>
              <w:t>.</w:t>
            </w:r>
            <w:r>
              <w:rPr>
                <w:rFonts w:hint="eastAsia"/>
                <w:color w:val="000000"/>
                <w:kern w:val="0"/>
                <w:szCs w:val="21"/>
              </w:rPr>
              <w:t>微观经济学</w:t>
            </w:r>
          </w:p>
          <w:p>
            <w:pPr>
              <w:rPr>
                <w:color w:val="000000"/>
                <w:kern w:val="0"/>
                <w:szCs w:val="21"/>
              </w:rPr>
            </w:pPr>
            <w:r>
              <w:rPr>
                <w:rFonts w:hint="eastAsia"/>
                <w:color w:val="000000"/>
                <w:kern w:val="0"/>
                <w:szCs w:val="21"/>
              </w:rPr>
              <w:t>2</w:t>
            </w:r>
            <w:r>
              <w:rPr>
                <w:color w:val="000000"/>
                <w:kern w:val="0"/>
                <w:szCs w:val="21"/>
              </w:rPr>
              <w:t>.</w:t>
            </w:r>
            <w:r>
              <w:rPr>
                <w:rFonts w:hint="eastAsia"/>
                <w:color w:val="000000"/>
                <w:kern w:val="0"/>
                <w:szCs w:val="21"/>
              </w:rPr>
              <w:t>宏观经济学</w:t>
            </w:r>
          </w:p>
          <w:p>
            <w:pPr>
              <w:rPr>
                <w:rFonts w:hint="eastAsia"/>
                <w:color w:val="000000"/>
                <w:kern w:val="0"/>
                <w:szCs w:val="21"/>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6</w:t>
            </w:r>
            <w:r>
              <w:rPr>
                <w:rFonts w:ascii="宋体" w:hAnsi="宋体" w:cs="宋体"/>
                <w:b/>
                <w:color w:val="000000"/>
                <w:szCs w:val="21"/>
              </w:rPr>
              <w:t>0</w:t>
            </w:r>
          </w:p>
        </w:tc>
      </w:tr>
    </w:tbl>
    <w:p>
      <w:pPr>
        <w:pStyle w:val="45"/>
        <w:ind w:left="420" w:firstLine="0" w:firstLineChars="0"/>
        <w:rPr>
          <w:rFonts w:hint="eastAsia"/>
        </w:rPr>
      </w:pPr>
    </w:p>
    <w:p>
      <w:pPr>
        <w:pStyle w:val="45"/>
        <w:numPr>
          <w:ilvl w:val="0"/>
          <w:numId w:val="3"/>
        </w:numPr>
        <w:ind w:firstLineChars="0"/>
      </w:pPr>
      <w:r>
        <w:rPr>
          <w:rFonts w:hint="eastAsia"/>
        </w:rPr>
        <w:t>职业技能课程设计</w:t>
      </w:r>
    </w:p>
    <w:p>
      <w:pPr>
        <w:pStyle w:val="34"/>
        <w:spacing w:before="156" w:beforeLines="50" w:line="360" w:lineRule="exact"/>
        <w:ind w:firstLine="240" w:firstLineChars="100"/>
        <w:rPr>
          <w:rFonts w:hint="eastAsia" w:ascii="宋体"/>
          <w:color w:val="000000"/>
        </w:rPr>
      </w:pPr>
    </w:p>
    <w:tbl>
      <w:tblPr>
        <w:tblStyle w:val="26"/>
        <w:tblW w:w="9233"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1276"/>
        <w:gridCol w:w="1275"/>
        <w:gridCol w:w="2694"/>
        <w:gridCol w:w="2341"/>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blHeader/>
        </w:trPr>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课程</w:t>
            </w:r>
          </w:p>
          <w:p>
            <w:pPr>
              <w:jc w:val="center"/>
              <w:rPr>
                <w:rFonts w:hint="eastAsia" w:ascii="宋体" w:hAnsi="宋体" w:cs="宋体"/>
                <w:b/>
                <w:color w:val="000000"/>
                <w:szCs w:val="21"/>
              </w:rPr>
            </w:pPr>
            <w:r>
              <w:rPr>
                <w:rFonts w:hint="eastAsia" w:ascii="宋体" w:hAnsi="宋体" w:cs="宋体"/>
                <w:b/>
                <w:color w:val="000000"/>
                <w:szCs w:val="21"/>
              </w:rPr>
              <w:t>代码</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课程名称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课程性质</w:t>
            </w:r>
          </w:p>
          <w:p>
            <w:pPr>
              <w:jc w:val="center"/>
              <w:rPr>
                <w:rFonts w:hint="eastAsia" w:ascii="宋体" w:hAnsi="宋体" w:cs="宋体"/>
                <w:b/>
                <w:color w:val="000000"/>
                <w:szCs w:val="21"/>
              </w:rPr>
            </w:pPr>
            <w:r>
              <w:rPr>
                <w:rFonts w:hint="eastAsia" w:ascii="宋体" w:hAnsi="宋体" w:cs="宋体"/>
                <w:b/>
                <w:color w:val="000000"/>
                <w:szCs w:val="21"/>
              </w:rPr>
              <w:t>与地位</w:t>
            </w:r>
          </w:p>
        </w:tc>
        <w:tc>
          <w:tcPr>
            <w:tcW w:w="26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课程目标</w:t>
            </w:r>
          </w:p>
        </w:tc>
        <w:tc>
          <w:tcPr>
            <w:tcW w:w="23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主要教学内容与要求</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hint="eastAsia" w:ascii="宋体" w:hAnsi="宋体" w:cs="宋体"/>
                <w:color w:val="FF0000"/>
                <w:szCs w:val="21"/>
              </w:rPr>
              <w:t>5</w:t>
            </w:r>
            <w:r>
              <w:rPr>
                <w:rFonts w:ascii="宋体" w:hAnsi="宋体" w:cs="宋体"/>
                <w:color w:val="FF0000"/>
                <w:szCs w:val="21"/>
              </w:rPr>
              <w:t>20011033</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hint="eastAsia" w:ascii="宋体" w:hAnsi="宋体" w:cs="宋体"/>
                <w:color w:val="FF0000"/>
                <w:szCs w:val="21"/>
              </w:rPr>
              <w:t>金融市场学</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hint="eastAsia" w:ascii="宋体" w:hAnsi="宋体" w:cs="宋体"/>
                <w:color w:val="FF0000"/>
                <w:szCs w:val="21"/>
              </w:rPr>
              <w:t>专业核心课</w:t>
            </w:r>
          </w:p>
        </w:tc>
        <w:tc>
          <w:tcPr>
            <w:tcW w:w="2694"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left"/>
              <w:rPr>
                <w:rFonts w:hint="eastAsia" w:ascii="宋体" w:hAnsi="宋体" w:cs="宋体"/>
                <w:color w:val="FF0000"/>
                <w:szCs w:val="21"/>
              </w:rPr>
            </w:pPr>
            <w:r>
              <w:rPr>
                <w:rFonts w:hint="eastAsia" w:ascii="宋体" w:hAnsi="宋体" w:cs="宋体"/>
                <w:color w:val="000000"/>
                <w:szCs w:val="21"/>
              </w:rPr>
              <w:t>通过《金融市场学》课程的学习，使学生掌握金融市场工具（股票、债券、基金、衍生品）的概念、运行原理和交易的方式以及金融机构、个人投资者、监管机构以及行业协会等市场参与主体。紧密跟踪国内外金融市场的动态变化，同时强化学生对证券投资软件技术技能实践训练，以工作任务为主线，理论应用于实践，为学生毕业后从事证券投资业务做好理论与实践的准备。</w:t>
            </w:r>
          </w:p>
        </w:tc>
        <w:tc>
          <w:tcPr>
            <w:tcW w:w="2341"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left"/>
              <w:rPr>
                <w:rFonts w:hint="eastAsia" w:ascii="宋体" w:hAnsi="宋体" w:cs="宋体"/>
                <w:color w:val="FF0000"/>
                <w:szCs w:val="21"/>
              </w:rPr>
            </w:pPr>
            <w:r>
              <w:rPr>
                <w:rFonts w:hint="eastAsia" w:ascii="宋体" w:hAnsi="宋体" w:cs="宋体"/>
                <w:color w:val="FF0000"/>
                <w:szCs w:val="21"/>
              </w:rPr>
              <w:t>它是研究我国当下市场经济的条件下金融市场的运行机制以及各主体之间市场行为的课程。通过对本课程的基本概念和基本方法的讲解，使学生掌握金融市场基础知识、基本理论、基本规则和基本技能。掌握股票、债券、基金和衍生工具的基本知识、操作流程、分析方法，为学生毕业后从事证券从业工作奠定基础。在我院“金融科技应用”专业课程体系中本课程属于职业技能课程，是在“金融科技应用”专业中起到承上启下作用的课程，为学生后续的课程和毕业以后从事证券从业工业奠定坚实基础。</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ascii="宋体" w:hAnsi="宋体" w:cs="宋体"/>
                <w:color w:val="FF0000"/>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hint="eastAsia" w:ascii="宋体" w:hAnsi="宋体" w:cs="宋体"/>
                <w:color w:val="FF0000"/>
                <w:szCs w:val="21"/>
              </w:rPr>
              <w:t>5</w:t>
            </w:r>
            <w:r>
              <w:rPr>
                <w:rFonts w:ascii="宋体" w:hAnsi="宋体" w:cs="宋体"/>
                <w:color w:val="FF0000"/>
                <w:szCs w:val="21"/>
              </w:rPr>
              <w:t>10011015</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FF0000"/>
                <w:szCs w:val="21"/>
              </w:rPr>
            </w:pPr>
            <w:r>
              <w:rPr>
                <w:rFonts w:hint="eastAsia" w:ascii="宋体" w:hAnsi="宋体" w:cs="宋体"/>
                <w:color w:val="FF0000"/>
                <w:szCs w:val="21"/>
              </w:rPr>
              <w:t>金融科技概论</w:t>
            </w:r>
            <w:r>
              <w:rPr>
                <w:rFonts w:hint="eastAsia" w:ascii="宋体" w:hAnsi="宋体" w:cs="宋体"/>
                <w:color w:val="FF0000"/>
                <w:szCs w:val="21"/>
              </w:rPr>
              <w:tab/>
            </w:r>
          </w:p>
          <w:p>
            <w:pPr>
              <w:jc w:val="center"/>
              <w:rPr>
                <w:rFonts w:hint="eastAsia" w:ascii="宋体" w:hAnsi="宋体" w:cs="宋体"/>
                <w:color w:val="FF000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hint="eastAsia" w:ascii="宋体" w:hAnsi="宋体" w:cs="宋体"/>
                <w:color w:val="FF0000"/>
                <w:szCs w:val="21"/>
              </w:rPr>
              <w:t>专业</w:t>
            </w:r>
          </w:p>
          <w:p>
            <w:pPr>
              <w:jc w:val="center"/>
              <w:rPr>
                <w:rFonts w:hint="eastAsia" w:ascii="宋体" w:hAnsi="宋体" w:cs="宋体"/>
                <w:color w:val="FF0000"/>
                <w:szCs w:val="21"/>
              </w:rPr>
            </w:pPr>
            <w:r>
              <w:rPr>
                <w:rFonts w:hint="eastAsia" w:ascii="宋体" w:hAnsi="宋体" w:cs="宋体"/>
                <w:color w:val="FF0000"/>
                <w:szCs w:val="21"/>
              </w:rPr>
              <w:t>基础课</w:t>
            </w:r>
          </w:p>
        </w:tc>
        <w:tc>
          <w:tcPr>
            <w:tcW w:w="2694"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left"/>
              <w:rPr>
                <w:rFonts w:hint="eastAsia" w:ascii="宋体" w:hAnsi="宋体" w:cs="宋体"/>
                <w:color w:val="000000"/>
                <w:szCs w:val="21"/>
              </w:rPr>
            </w:pPr>
            <w:r>
              <w:rPr>
                <w:rFonts w:hint="eastAsia" w:ascii="宋体" w:hAnsi="宋体" w:cs="宋体"/>
                <w:color w:val="000000"/>
                <w:szCs w:val="21"/>
              </w:rPr>
              <w:t>通过本课程的学习，使学生获得金融科技的内涵、本质及主要业态，了解金融科技公司的底层技术：大数据、云计算、人工智能和区块链的内涵、原理、机制等。并且掌握以上技术在金融企业中的应用场景</w:t>
            </w:r>
          </w:p>
        </w:tc>
        <w:tc>
          <w:tcPr>
            <w:tcW w:w="2341"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left"/>
              <w:rPr>
                <w:rFonts w:hint="eastAsia" w:ascii="宋体" w:hAnsi="宋体" w:cs="宋体"/>
                <w:color w:val="FF0000"/>
                <w:szCs w:val="21"/>
              </w:rPr>
            </w:pPr>
            <w:r>
              <w:rPr>
                <w:rFonts w:hint="eastAsia" w:ascii="宋体" w:hAnsi="宋体" w:cs="宋体"/>
                <w:color w:val="FF0000"/>
                <w:szCs w:val="21"/>
              </w:rPr>
              <w:t xml:space="preserve">了解金融科技的基本内涵与外延及其发展状况，理解金融科技技术定义和基本理论，领会金融科技的应用场景，包括应用价值、产品服务、风险管理等不同方面，解析金融科技在数字资产、数字货币，银行、证券等领域的应用。  </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hint="eastAsia" w:ascii="宋体" w:hAnsi="宋体" w:cs="宋体"/>
                <w:color w:val="FF0000"/>
                <w:szCs w:val="21"/>
              </w:rPr>
              <w:t>9</w:t>
            </w:r>
            <w:r>
              <w:rPr>
                <w:rFonts w:ascii="宋体" w:hAnsi="宋体" w:cs="宋体"/>
                <w:color w:val="FF000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hint="eastAsia" w:ascii="宋体" w:hAnsi="宋体" w:cs="宋体"/>
                <w:color w:val="FF0000"/>
                <w:szCs w:val="21"/>
              </w:rPr>
              <w:t>5</w:t>
            </w:r>
            <w:r>
              <w:rPr>
                <w:rFonts w:ascii="宋体" w:hAnsi="宋体" w:cs="宋体"/>
                <w:color w:val="FF0000"/>
                <w:szCs w:val="21"/>
              </w:rPr>
              <w:t>20011036</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color w:val="FF0000"/>
              </w:rPr>
            </w:pPr>
            <w:r>
              <w:rPr>
                <w:rFonts w:hint="eastAsia"/>
                <w:color w:val="FF0000"/>
              </w:rPr>
              <w:t>征信技术与实务</w:t>
            </w:r>
          </w:p>
          <w:p>
            <w:pPr>
              <w:jc w:val="center"/>
              <w:rPr>
                <w:rFonts w:hint="eastAsia" w:ascii="宋体" w:hAnsi="宋体" w:cs="宋体"/>
                <w:color w:val="FF000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hint="eastAsia" w:ascii="宋体" w:hAnsi="宋体" w:cs="宋体"/>
                <w:color w:val="FF0000"/>
                <w:szCs w:val="21"/>
              </w:rPr>
              <w:t>专业技能课</w:t>
            </w:r>
          </w:p>
        </w:tc>
        <w:tc>
          <w:tcPr>
            <w:tcW w:w="2694" w:type="dxa"/>
          </w:tcPr>
          <w:p>
            <w:pPr>
              <w:ind w:firstLine="420" w:firstLineChars="200"/>
              <w:rPr>
                <w:rFonts w:ascii="宋体" w:hAnsi="宋体" w:cs="仿宋_GB2312"/>
                <w:color w:val="FF0000"/>
                <w:szCs w:val="21"/>
              </w:rPr>
            </w:pPr>
            <w:r>
              <w:rPr>
                <w:rFonts w:hint="eastAsia" w:ascii="宋体" w:hAnsi="宋体" w:cs="仿宋_GB2312"/>
                <w:color w:val="FF0000"/>
                <w:szCs w:val="21"/>
              </w:rPr>
              <w:t>本课程是金融科技应用专业的一门职业技能课。主要功能是使学生初步了解征信知识，从中国当前征信发展的实际出发，结合高职高专学生的特点，使学生掌握互联网金融征信的主要对象、征信产品、征信机构等，为互联网金融营销岗位、投资与理财岗位和互联网金融运营岗位提供征信基本知识和技能，是金融科技应用专业的专业核心课程之一。</w:t>
            </w:r>
          </w:p>
        </w:tc>
        <w:tc>
          <w:tcPr>
            <w:tcW w:w="234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FF0000"/>
                <w:szCs w:val="21"/>
              </w:rPr>
            </w:pPr>
            <w:r>
              <w:rPr>
                <w:rFonts w:hint="eastAsia" w:ascii="宋体" w:hAnsi="宋体" w:cs="宋体"/>
                <w:color w:val="FF0000"/>
                <w:szCs w:val="21"/>
              </w:rPr>
              <w:t>了解征信的功能和特征；了解征信的起源与发展，明确征信对整个社会的意义；掌握征信体系的含义、内容；熟悉征信数据库的概念与功能；理解征信数据库的类型；熟悉金融信用信息基础数据库的概念和功能；熟悉掌握第三方平台征信数据库的概念和模式；了解融信用信息基础数据库的意义和发展历程；掌握企业尽职调查、企业征信报告、商账管理以及数据增值服务的概念与主要内容；熟悉企业证信信息的内容、来源以及主要方式；掌握企业信用评价体系；熟悉征信报告的构成；掌握征信报告各项内容的含义；熟悉个人征信产品中的个人信用调查服务、个人征信报告服务与个人信用评分服务；掌握个人征信信息的主要内容；掌握个人征信信息的主要来源与采集方式；理解个人信用评分的原理，个人信用评分模型的开发与检验以及个人信用评分模型的类型；理解国内外大数据征信的主要平台和监管的法律法规；了解征信业的未来发展，包括互联网经济下的征信模式，我国大数据征信市场发展的方向及大数据征信的发展趋势。</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Cs w:val="21"/>
              </w:rPr>
            </w:pPr>
            <w:r>
              <w:rPr>
                <w:rFonts w:ascii="宋体" w:hAnsi="宋体" w:cs="宋体"/>
                <w:color w:val="FF0000"/>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8" w:hRule="atLeast"/>
        </w:trPr>
        <w:tc>
          <w:tcPr>
            <w:tcW w:w="912" w:type="dxa"/>
            <w:tcBorders>
              <w:top w:val="single" w:color="000000" w:sz="4" w:space="0"/>
              <w:left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5</w:t>
            </w:r>
            <w:r>
              <w:rPr>
                <w:rFonts w:ascii="宋体" w:hAnsi="宋体" w:cs="宋体"/>
                <w:color w:val="000000"/>
                <w:szCs w:val="21"/>
              </w:rPr>
              <w:t>20011034</w:t>
            </w:r>
          </w:p>
        </w:tc>
        <w:tc>
          <w:tcPr>
            <w:tcW w:w="1276" w:type="dxa"/>
            <w:tcBorders>
              <w:top w:val="single" w:color="000000" w:sz="4" w:space="0"/>
              <w:left w:val="single" w:color="000000" w:sz="4" w:space="0"/>
              <w:right w:val="single" w:color="000000" w:sz="4" w:space="0"/>
            </w:tcBorders>
            <w:vAlign w:val="center"/>
          </w:tcPr>
          <w:p>
            <w:pPr>
              <w:jc w:val="center"/>
              <w:rPr>
                <w:rFonts w:hint="eastAsia" w:ascii="宋体" w:hAnsi="宋体" w:cs="宋体"/>
                <w:color w:val="000000"/>
                <w:szCs w:val="21"/>
              </w:rPr>
            </w:pPr>
            <w:r>
              <w:rPr>
                <w:rFonts w:hint="eastAsia"/>
              </w:rPr>
              <w:t>证券投资理论与实务</w:t>
            </w:r>
          </w:p>
        </w:tc>
        <w:tc>
          <w:tcPr>
            <w:tcW w:w="1275" w:type="dxa"/>
            <w:tcBorders>
              <w:top w:val="single" w:color="000000" w:sz="4" w:space="0"/>
              <w:left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专业技能课</w:t>
            </w:r>
          </w:p>
        </w:tc>
        <w:tc>
          <w:tcPr>
            <w:tcW w:w="2694" w:type="dxa"/>
            <w:tcBorders>
              <w:top w:val="single" w:color="000000" w:sz="4" w:space="0"/>
              <w:left w:val="single" w:color="000000" w:sz="4" w:space="0"/>
              <w:right w:val="single" w:color="000000" w:sz="4" w:space="0"/>
            </w:tcBorders>
            <w:vAlign w:val="center"/>
          </w:tcPr>
          <w:p>
            <w:pPr>
              <w:ind w:firstLine="420" w:firstLineChars="200"/>
              <w:jc w:val="left"/>
              <w:rPr>
                <w:rFonts w:hint="eastAsia" w:ascii="宋体" w:hAnsi="宋体" w:cs="宋体"/>
                <w:color w:val="000000"/>
                <w:szCs w:val="21"/>
              </w:rPr>
            </w:pPr>
            <w:r>
              <w:rPr>
                <w:rFonts w:hint="eastAsia" w:ascii="宋体" w:hAnsi="宋体" w:cs="宋体"/>
                <w:color w:val="000000"/>
                <w:szCs w:val="21"/>
              </w:rPr>
              <w:t>从学习特点出发，结合金融科技应用专业的培养要求，对金融市场中的股票、债券、证券投资基金、金融衍生工具进行深入浅出的介绍。并在此基础上，在证券理论和实践知识之间架设桥梁，让学生在掌握理论知识的同时兼顾实训内容，让学生更好地理解证券市场的运作机制和原理。从基础金融市场知识出发，培养学生的证券投资分析能力，包括基本面分析、技术分析和行为分析，掌握证券投资的分析方法和股票投资策略。</w:t>
            </w:r>
          </w:p>
        </w:tc>
        <w:tc>
          <w:tcPr>
            <w:tcW w:w="2341" w:type="dxa"/>
            <w:tcBorders>
              <w:top w:val="single" w:color="000000" w:sz="4" w:space="0"/>
              <w:left w:val="single" w:color="000000" w:sz="4" w:space="0"/>
              <w:right w:val="single" w:color="000000" w:sz="4" w:space="0"/>
            </w:tcBorders>
            <w:vAlign w:val="center"/>
          </w:tcPr>
          <w:p>
            <w:pPr>
              <w:jc w:val="left"/>
              <w:rPr>
                <w:rFonts w:hint="eastAsia" w:ascii="宋体" w:hAnsi="宋体" w:cs="宋体"/>
                <w:color w:val="000000"/>
                <w:szCs w:val="21"/>
              </w:rPr>
            </w:pPr>
            <w:r>
              <w:rPr>
                <w:rFonts w:hint="eastAsia" w:ascii="宋体" w:hAnsi="宋体" w:cs="宋体"/>
                <w:color w:val="000000"/>
                <w:szCs w:val="21"/>
              </w:rPr>
              <w:t>包括并掌握股票、债券、投资基金和衍生工具；证券市场组织构成；证券发行和交易的基本程序；证券市场投资风险与收益；证券投资的基本分析和技术分析。</w:t>
            </w:r>
          </w:p>
        </w:tc>
        <w:tc>
          <w:tcPr>
            <w:tcW w:w="735" w:type="dxa"/>
            <w:tcBorders>
              <w:top w:val="single" w:color="000000" w:sz="4" w:space="0"/>
              <w:left w:val="single" w:color="000000" w:sz="4" w:space="0"/>
              <w:right w:val="single" w:color="000000" w:sz="4" w:space="0"/>
            </w:tcBorders>
            <w:vAlign w:val="center"/>
          </w:tcPr>
          <w:p>
            <w:pPr>
              <w:jc w:val="center"/>
              <w:rPr>
                <w:rFonts w:ascii="宋体" w:hAnsi="宋体" w:cs="宋体"/>
                <w:color w:val="000000"/>
                <w:szCs w:val="21"/>
              </w:rPr>
            </w:pPr>
            <w:r>
              <w:rPr>
                <w:rFonts w:ascii="宋体" w:hAnsi="宋体" w:cs="宋体"/>
                <w:color w:val="000000"/>
                <w:szCs w:val="21"/>
              </w:rPr>
              <w:t>90</w:t>
            </w:r>
          </w:p>
          <w:p>
            <w:pPr>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5</w:t>
            </w:r>
            <w:r>
              <w:rPr>
                <w:rFonts w:ascii="宋体" w:hAnsi="宋体" w:cs="宋体"/>
                <w:color w:val="000000"/>
                <w:szCs w:val="21"/>
              </w:rPr>
              <w:t>20011032</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互联网金融营销</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专业核心课</w:t>
            </w:r>
          </w:p>
        </w:tc>
        <w:tc>
          <w:tcPr>
            <w:tcW w:w="269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Cs w:val="21"/>
              </w:rPr>
            </w:pPr>
            <w:r>
              <w:rPr>
                <w:rFonts w:hint="eastAsia" w:ascii="宋体" w:hAnsi="宋体" w:cs="宋体"/>
                <w:color w:val="000000"/>
                <w:szCs w:val="21"/>
              </w:rPr>
              <w:t>通过学习，要求学生具备网络营销策略与网络品牌战略制订、网络营销管理等方面的知识与能力；具有对网络营销环境、网络消费者行为模式客观分析并准确定位网络营销目标市场的能力，具有网络市场调研方案策划与实施的能力，掌握一定的网络促销技巧。</w:t>
            </w:r>
          </w:p>
        </w:tc>
        <w:tc>
          <w:tcPr>
            <w:tcW w:w="234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掌握网络营销的概念和特点、网络营销在我国的发展现状；理解企业开展网络营销的意义；熟悉网络营销的基本内容。掌握基本的营销观念；网络营销的基本理念；理解4C、4R营销理论；熟悉各种营销组合的优缺点。掌握网络营销宏观环境的概念；理解宏观环境对企业开展网络营销的影响；掌握网络营销微观环境的概念。掌握网络消费者类型、网络消费者需求和购买动机；理解网络消费者的购买行为；熟悉网络消费者购买过程。</w:t>
            </w:r>
          </w:p>
          <w:p>
            <w:pPr>
              <w:jc w:val="left"/>
              <w:rPr>
                <w:rFonts w:hint="eastAsia" w:ascii="宋体" w:hAnsi="宋体" w:cs="宋体"/>
                <w:color w:val="000000"/>
                <w:szCs w:val="21"/>
              </w:rPr>
            </w:pPr>
            <w:r>
              <w:rPr>
                <w:rFonts w:hint="eastAsia" w:ascii="宋体" w:hAnsi="宋体" w:cs="宋体"/>
                <w:color w:val="000000"/>
                <w:szCs w:val="21"/>
              </w:rPr>
              <w:t>掌握市场调研的方法、市场调研的内容和具体操作步骤；理解网络调研的含义；熟悉网络信息的采集和检索。</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ascii="宋体" w:hAnsi="宋体" w:cs="宋体"/>
                <w:color w:val="000000"/>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5</w:t>
            </w:r>
            <w:r>
              <w:rPr>
                <w:rFonts w:ascii="宋体" w:hAnsi="宋体" w:cs="宋体"/>
                <w:color w:val="000000"/>
                <w:szCs w:val="21"/>
              </w:rPr>
              <w:t>20011035</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金融法律法规与风险管理</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专业技能课</w:t>
            </w:r>
          </w:p>
        </w:tc>
        <w:tc>
          <w:tcPr>
            <w:tcW w:w="269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Cs w:val="21"/>
              </w:rPr>
            </w:pPr>
            <w:r>
              <w:rPr>
                <w:rFonts w:hint="eastAsia" w:ascii="宋体" w:hAnsi="宋体" w:cs="宋体"/>
                <w:color w:val="000000"/>
                <w:szCs w:val="21"/>
              </w:rPr>
              <w:t>通过本课程的学习，帮助学生了解在现行互联网金融市场形态下的法律规范。授课主要以案例形式，帮助学生将法律意识带入实际业务情景，从而建立起必要的从业法律意识和风险识别能力。具备互联网金融风险识别能力，掌握一定的风控技术，熟悉信审流程和操作，具备数据的归纳统计和分析能力。</w:t>
            </w:r>
          </w:p>
        </w:tc>
        <w:tc>
          <w:tcPr>
            <w:tcW w:w="234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Cs w:val="21"/>
              </w:rPr>
            </w:pPr>
            <w:r>
              <w:rPr>
                <w:rFonts w:hint="eastAsia" w:ascii="宋体" w:hAnsi="宋体" w:cs="宋体"/>
                <w:color w:val="000000"/>
                <w:szCs w:val="21"/>
              </w:rPr>
              <w:t>内容涵盖银行法规、保险法规、基金法规、融资租赁等与互联网金融主流业务相关的法律法规及各类法律主体和监管部门。项目风险、市场风险、政策合规风险、流动性风险、风控技术、信用审核、金融数据的统计和分类。</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r>
              <w:rPr>
                <w:rFonts w:ascii="宋体" w:hAnsi="宋体" w:cs="宋体"/>
                <w:color w:val="000000"/>
                <w:szCs w:val="21"/>
              </w:rPr>
              <w:t>90</w:t>
            </w:r>
          </w:p>
        </w:tc>
      </w:tr>
    </w:tbl>
    <w:p>
      <w:pPr>
        <w:pStyle w:val="45"/>
        <w:ind w:left="420" w:firstLine="0" w:firstLineChars="0"/>
        <w:rPr>
          <w:rFonts w:hint="eastAsia"/>
        </w:rPr>
      </w:pPr>
    </w:p>
    <w:p>
      <w:pPr>
        <w:pStyle w:val="45"/>
      </w:pPr>
      <w:r>
        <w:rPr>
          <w:rFonts w:hint="eastAsia"/>
        </w:rPr>
        <w:t>4</w:t>
      </w:r>
      <w:r>
        <w:t>.</w:t>
      </w:r>
      <w:r>
        <w:rPr>
          <w:rFonts w:hint="eastAsia"/>
        </w:rPr>
        <w:t>职业拓展课程设计</w:t>
      </w:r>
    </w:p>
    <w:p>
      <w:pPr>
        <w:pStyle w:val="34"/>
        <w:rPr>
          <w:rFonts w:hint="eastAsia"/>
        </w:rPr>
      </w:pPr>
      <w:r>
        <w:rPr>
          <w:rFonts w:hint="eastAsia"/>
        </w:rPr>
        <w:t>根据金融科技应用专业人才培养目标，金融科技应用专业设置了相应的职业拓展课程，包括消费金融与供应链金融、互联网金融典型案例分析、区块链技术、大数据分析与征信、和SPSS在金融中的应用等与专业相关的课程。</w:t>
      </w:r>
    </w:p>
    <w:p>
      <w:pPr>
        <w:pStyle w:val="45"/>
      </w:pPr>
      <w:r>
        <w:rPr>
          <w:rFonts w:hint="eastAsia"/>
        </w:rPr>
        <w:t>5.课程总体结构及学分要求</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996"/>
        <w:gridCol w:w="1098"/>
        <w:gridCol w:w="109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951" w:type="dxa"/>
            <w:gridSpan w:val="2"/>
            <w:vAlign w:val="center"/>
          </w:tcPr>
          <w:p>
            <w:pPr>
              <w:spacing w:line="270" w:lineRule="atLeast"/>
              <w:jc w:val="center"/>
              <w:rPr>
                <w:rFonts w:eastAsia="黑体"/>
                <w:b/>
                <w:color w:val="000000"/>
                <w:szCs w:val="21"/>
              </w:rPr>
            </w:pPr>
            <w:r>
              <w:rPr>
                <w:rFonts w:eastAsia="黑体"/>
                <w:b/>
                <w:color w:val="000000"/>
                <w:szCs w:val="21"/>
              </w:rPr>
              <w:t>课 程 类 别</w:t>
            </w:r>
          </w:p>
        </w:tc>
        <w:tc>
          <w:tcPr>
            <w:tcW w:w="1098" w:type="dxa"/>
            <w:vAlign w:val="center"/>
          </w:tcPr>
          <w:p>
            <w:pPr>
              <w:spacing w:line="270" w:lineRule="atLeast"/>
              <w:jc w:val="center"/>
              <w:rPr>
                <w:rFonts w:eastAsia="黑体"/>
                <w:b/>
                <w:color w:val="000000"/>
                <w:szCs w:val="21"/>
              </w:rPr>
            </w:pPr>
            <w:r>
              <w:rPr>
                <w:rFonts w:hint="eastAsia" w:eastAsia="黑体"/>
                <w:b/>
                <w:color w:val="000000"/>
                <w:szCs w:val="21"/>
              </w:rPr>
              <w:t>实践学时</w:t>
            </w:r>
          </w:p>
        </w:tc>
        <w:tc>
          <w:tcPr>
            <w:tcW w:w="1099" w:type="dxa"/>
            <w:vAlign w:val="center"/>
          </w:tcPr>
          <w:p>
            <w:pPr>
              <w:spacing w:line="270" w:lineRule="atLeast"/>
              <w:jc w:val="center"/>
              <w:rPr>
                <w:rFonts w:eastAsia="黑体"/>
                <w:b/>
                <w:color w:val="000000"/>
                <w:szCs w:val="21"/>
              </w:rPr>
            </w:pPr>
            <w:r>
              <w:rPr>
                <w:rFonts w:hint="eastAsia" w:eastAsia="黑体"/>
                <w:b/>
                <w:color w:val="000000"/>
                <w:szCs w:val="21"/>
              </w:rPr>
              <w:t>学 时</w:t>
            </w:r>
          </w:p>
        </w:tc>
        <w:tc>
          <w:tcPr>
            <w:tcW w:w="1686" w:type="dxa"/>
            <w:vAlign w:val="center"/>
          </w:tcPr>
          <w:p>
            <w:pPr>
              <w:spacing w:line="270" w:lineRule="atLeast"/>
              <w:jc w:val="center"/>
              <w:rPr>
                <w:rFonts w:eastAsia="黑体"/>
                <w:b/>
                <w:color w:val="000000"/>
                <w:szCs w:val="21"/>
              </w:rPr>
            </w:pPr>
            <w:r>
              <w:rPr>
                <w:rFonts w:eastAsia="黑体"/>
                <w:b/>
                <w:color w:val="000000"/>
                <w:szCs w:val="21"/>
              </w:rPr>
              <w:t>学</w:t>
            </w:r>
            <w:r>
              <w:rPr>
                <w:rFonts w:hint="eastAsia" w:eastAsia="黑体"/>
                <w:b/>
                <w:color w:val="000000"/>
                <w:szCs w:val="21"/>
              </w:rPr>
              <w:t xml:space="preserve">  </w:t>
            </w:r>
            <w:r>
              <w:rPr>
                <w:rFonts w:eastAsia="黑体"/>
                <w:b/>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jc w:val="center"/>
        </w:trPr>
        <w:tc>
          <w:tcPr>
            <w:tcW w:w="4951" w:type="dxa"/>
            <w:gridSpan w:val="2"/>
            <w:vAlign w:val="center"/>
          </w:tcPr>
          <w:p>
            <w:pPr>
              <w:spacing w:line="270" w:lineRule="atLeast"/>
              <w:jc w:val="center"/>
              <w:rPr>
                <w:color w:val="000000"/>
                <w:szCs w:val="21"/>
              </w:rPr>
            </w:pPr>
            <w:r>
              <w:rPr>
                <w:color w:val="000000"/>
                <w:szCs w:val="21"/>
              </w:rPr>
              <w:t>基本素质课程</w:t>
            </w:r>
          </w:p>
        </w:tc>
        <w:tc>
          <w:tcPr>
            <w:tcW w:w="1098" w:type="dxa"/>
            <w:vAlign w:val="center"/>
          </w:tcPr>
          <w:p>
            <w:pPr>
              <w:spacing w:line="270" w:lineRule="atLeast"/>
              <w:jc w:val="center"/>
              <w:rPr>
                <w:color w:val="000000"/>
                <w:szCs w:val="21"/>
              </w:rPr>
            </w:pPr>
            <w:r>
              <w:rPr>
                <w:rFonts w:hint="eastAsia"/>
                <w:color w:val="000000"/>
                <w:szCs w:val="21"/>
              </w:rPr>
              <w:t>3</w:t>
            </w:r>
            <w:r>
              <w:rPr>
                <w:color w:val="000000"/>
                <w:szCs w:val="21"/>
              </w:rPr>
              <w:t>41</w:t>
            </w:r>
          </w:p>
        </w:tc>
        <w:tc>
          <w:tcPr>
            <w:tcW w:w="1099" w:type="dxa"/>
            <w:vAlign w:val="center"/>
          </w:tcPr>
          <w:p>
            <w:pPr>
              <w:spacing w:line="270" w:lineRule="atLeast"/>
              <w:jc w:val="center"/>
              <w:rPr>
                <w:color w:val="000000"/>
                <w:szCs w:val="21"/>
              </w:rPr>
            </w:pPr>
            <w:r>
              <w:rPr>
                <w:rFonts w:hint="eastAsia"/>
                <w:color w:val="000000"/>
                <w:szCs w:val="21"/>
              </w:rPr>
              <w:t>8</w:t>
            </w:r>
            <w:r>
              <w:rPr>
                <w:color w:val="000000"/>
                <w:szCs w:val="21"/>
              </w:rPr>
              <w:t>08</w:t>
            </w:r>
          </w:p>
        </w:tc>
        <w:tc>
          <w:tcPr>
            <w:tcW w:w="1686" w:type="dxa"/>
            <w:vAlign w:val="center"/>
          </w:tcPr>
          <w:p>
            <w:pPr>
              <w:spacing w:line="270" w:lineRule="atLeast"/>
              <w:jc w:val="center"/>
              <w:rPr>
                <w:color w:val="000000"/>
                <w:szCs w:val="21"/>
              </w:rPr>
            </w:pPr>
            <w:r>
              <w:rPr>
                <w:color w:val="000000"/>
                <w:szCs w:val="21"/>
              </w:rPr>
              <w:t>50</w:t>
            </w:r>
            <w:r>
              <w:rPr>
                <w:rFonts w:hint="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951" w:type="dxa"/>
            <w:gridSpan w:val="2"/>
            <w:vAlign w:val="center"/>
          </w:tcPr>
          <w:p>
            <w:pPr>
              <w:spacing w:line="270" w:lineRule="atLeast"/>
              <w:jc w:val="center"/>
              <w:rPr>
                <w:color w:val="000000"/>
                <w:szCs w:val="21"/>
              </w:rPr>
            </w:pPr>
            <w:r>
              <w:rPr>
                <w:rFonts w:hAnsi="仿宋_GB2312"/>
                <w:color w:val="000000"/>
                <w:kern w:val="0"/>
                <w:szCs w:val="21"/>
              </w:rPr>
              <w:t>职业素质课程</w:t>
            </w:r>
          </w:p>
        </w:tc>
        <w:tc>
          <w:tcPr>
            <w:tcW w:w="1098" w:type="dxa"/>
            <w:vAlign w:val="center"/>
          </w:tcPr>
          <w:p>
            <w:pPr>
              <w:spacing w:line="270" w:lineRule="atLeast"/>
              <w:jc w:val="center"/>
              <w:rPr>
                <w:color w:val="000000"/>
                <w:szCs w:val="21"/>
              </w:rPr>
            </w:pPr>
            <w:r>
              <w:rPr>
                <w:rFonts w:hint="eastAsia"/>
                <w:color w:val="000000"/>
                <w:szCs w:val="21"/>
              </w:rPr>
              <w:t>0</w:t>
            </w:r>
          </w:p>
        </w:tc>
        <w:tc>
          <w:tcPr>
            <w:tcW w:w="1099" w:type="dxa"/>
            <w:vAlign w:val="center"/>
          </w:tcPr>
          <w:p>
            <w:pPr>
              <w:spacing w:line="270" w:lineRule="atLeast"/>
              <w:jc w:val="center"/>
              <w:rPr>
                <w:color w:val="000000"/>
                <w:szCs w:val="21"/>
              </w:rPr>
            </w:pPr>
            <w:r>
              <w:rPr>
                <w:rFonts w:hint="eastAsia"/>
                <w:color w:val="000000"/>
                <w:szCs w:val="21"/>
              </w:rPr>
              <w:t>3</w:t>
            </w:r>
            <w:r>
              <w:rPr>
                <w:color w:val="000000"/>
                <w:szCs w:val="21"/>
              </w:rPr>
              <w:t>60</w:t>
            </w:r>
          </w:p>
        </w:tc>
        <w:tc>
          <w:tcPr>
            <w:tcW w:w="1686" w:type="dxa"/>
            <w:vAlign w:val="center"/>
          </w:tcPr>
          <w:p>
            <w:pPr>
              <w:spacing w:line="270" w:lineRule="atLeast"/>
              <w:jc w:val="center"/>
              <w:rPr>
                <w:color w:val="000000"/>
                <w:szCs w:val="21"/>
              </w:rPr>
            </w:pPr>
            <w:r>
              <w:rPr>
                <w:color w:val="00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951" w:type="dxa"/>
            <w:gridSpan w:val="2"/>
            <w:vAlign w:val="center"/>
          </w:tcPr>
          <w:p>
            <w:pPr>
              <w:spacing w:line="270" w:lineRule="atLeast"/>
              <w:jc w:val="center"/>
              <w:rPr>
                <w:color w:val="000000"/>
                <w:szCs w:val="21"/>
              </w:rPr>
            </w:pPr>
            <w:r>
              <w:rPr>
                <w:rFonts w:hAnsi="仿宋_GB2312"/>
                <w:color w:val="000000"/>
                <w:kern w:val="0"/>
                <w:szCs w:val="21"/>
              </w:rPr>
              <w:t>职业技能课程</w:t>
            </w:r>
          </w:p>
        </w:tc>
        <w:tc>
          <w:tcPr>
            <w:tcW w:w="1098" w:type="dxa"/>
            <w:vAlign w:val="center"/>
          </w:tcPr>
          <w:p>
            <w:pPr>
              <w:spacing w:line="270" w:lineRule="atLeast"/>
              <w:jc w:val="center"/>
              <w:rPr>
                <w:color w:val="000000"/>
                <w:szCs w:val="21"/>
              </w:rPr>
            </w:pPr>
            <w:r>
              <w:rPr>
                <w:rFonts w:hint="eastAsia"/>
                <w:color w:val="000000"/>
                <w:szCs w:val="21"/>
              </w:rPr>
              <w:t>1</w:t>
            </w:r>
            <w:r>
              <w:rPr>
                <w:color w:val="000000"/>
                <w:szCs w:val="21"/>
              </w:rPr>
              <w:t>40</w:t>
            </w:r>
          </w:p>
        </w:tc>
        <w:tc>
          <w:tcPr>
            <w:tcW w:w="1099" w:type="dxa"/>
            <w:vAlign w:val="center"/>
          </w:tcPr>
          <w:p>
            <w:pPr>
              <w:spacing w:line="270" w:lineRule="atLeast"/>
              <w:jc w:val="center"/>
              <w:rPr>
                <w:color w:val="000000"/>
                <w:szCs w:val="21"/>
              </w:rPr>
            </w:pPr>
            <w:r>
              <w:rPr>
                <w:rFonts w:hint="eastAsia"/>
                <w:color w:val="000000"/>
                <w:szCs w:val="21"/>
              </w:rPr>
              <w:t>5</w:t>
            </w:r>
            <w:r>
              <w:rPr>
                <w:color w:val="000000"/>
                <w:szCs w:val="21"/>
              </w:rPr>
              <w:t>40</w:t>
            </w:r>
          </w:p>
        </w:tc>
        <w:tc>
          <w:tcPr>
            <w:tcW w:w="1686" w:type="dxa"/>
            <w:vAlign w:val="center"/>
          </w:tcPr>
          <w:p>
            <w:pPr>
              <w:spacing w:line="270" w:lineRule="atLeast"/>
              <w:jc w:val="center"/>
              <w:rPr>
                <w:color w:val="000000"/>
                <w:szCs w:val="21"/>
              </w:rPr>
            </w:pPr>
            <w:r>
              <w:rPr>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955" w:type="dxa"/>
            <w:vMerge w:val="restart"/>
            <w:vAlign w:val="center"/>
          </w:tcPr>
          <w:p>
            <w:pPr>
              <w:spacing w:line="270" w:lineRule="atLeast"/>
              <w:jc w:val="center"/>
              <w:rPr>
                <w:color w:val="000000"/>
                <w:szCs w:val="21"/>
              </w:rPr>
            </w:pPr>
            <w:r>
              <w:rPr>
                <w:rFonts w:hAnsi="仿宋_GB2312"/>
                <w:color w:val="000000"/>
                <w:kern w:val="0"/>
                <w:szCs w:val="21"/>
              </w:rPr>
              <w:t>职业延展课程</w:t>
            </w:r>
          </w:p>
        </w:tc>
        <w:tc>
          <w:tcPr>
            <w:tcW w:w="2996" w:type="dxa"/>
            <w:vAlign w:val="center"/>
          </w:tcPr>
          <w:p>
            <w:pPr>
              <w:spacing w:line="270" w:lineRule="atLeast"/>
              <w:jc w:val="center"/>
              <w:rPr>
                <w:color w:val="000000"/>
                <w:szCs w:val="21"/>
              </w:rPr>
            </w:pPr>
            <w:r>
              <w:rPr>
                <w:rFonts w:hAnsi="仿宋_GB2312"/>
                <w:color w:val="000000"/>
                <w:kern w:val="0"/>
                <w:szCs w:val="21"/>
              </w:rPr>
              <w:t>文化素质延展课</w:t>
            </w:r>
          </w:p>
        </w:tc>
        <w:tc>
          <w:tcPr>
            <w:tcW w:w="1098" w:type="dxa"/>
            <w:vAlign w:val="center"/>
          </w:tcPr>
          <w:p>
            <w:pPr>
              <w:spacing w:line="270" w:lineRule="atLeast"/>
              <w:jc w:val="center"/>
              <w:rPr>
                <w:color w:val="000000"/>
                <w:szCs w:val="21"/>
              </w:rPr>
            </w:pPr>
            <w:r>
              <w:rPr>
                <w:rFonts w:hint="eastAsia"/>
                <w:color w:val="000000"/>
                <w:szCs w:val="21"/>
              </w:rPr>
              <w:t>0</w:t>
            </w:r>
          </w:p>
        </w:tc>
        <w:tc>
          <w:tcPr>
            <w:tcW w:w="1099" w:type="dxa"/>
            <w:vAlign w:val="center"/>
          </w:tcPr>
          <w:p>
            <w:pPr>
              <w:spacing w:line="270" w:lineRule="atLeast"/>
              <w:jc w:val="center"/>
              <w:rPr>
                <w:color w:val="000000"/>
                <w:szCs w:val="21"/>
              </w:rPr>
            </w:pPr>
            <w:r>
              <w:rPr>
                <w:rFonts w:hint="eastAsia"/>
                <w:color w:val="000000"/>
                <w:szCs w:val="21"/>
              </w:rPr>
              <w:t>6</w:t>
            </w:r>
            <w:r>
              <w:rPr>
                <w:color w:val="000000"/>
                <w:szCs w:val="21"/>
              </w:rPr>
              <w:t>0</w:t>
            </w:r>
          </w:p>
        </w:tc>
        <w:tc>
          <w:tcPr>
            <w:tcW w:w="1686" w:type="dxa"/>
            <w:vAlign w:val="center"/>
          </w:tcPr>
          <w:p>
            <w:pPr>
              <w:spacing w:line="270" w:lineRule="atLeast"/>
              <w:jc w:val="center"/>
              <w:rPr>
                <w:color w:val="000000"/>
                <w:szCs w:val="21"/>
              </w:rPr>
            </w:pPr>
            <w:r>
              <w:rPr>
                <w:rFonts w:hint="eastAsia"/>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Merge w:val="continue"/>
            <w:vAlign w:val="center"/>
          </w:tcPr>
          <w:p>
            <w:pPr>
              <w:spacing w:line="270" w:lineRule="atLeast"/>
              <w:jc w:val="center"/>
              <w:rPr>
                <w:color w:val="000000"/>
                <w:kern w:val="0"/>
                <w:szCs w:val="21"/>
              </w:rPr>
            </w:pPr>
          </w:p>
        </w:tc>
        <w:tc>
          <w:tcPr>
            <w:tcW w:w="2996" w:type="dxa"/>
            <w:vAlign w:val="center"/>
          </w:tcPr>
          <w:p>
            <w:pPr>
              <w:spacing w:line="270" w:lineRule="atLeast"/>
              <w:jc w:val="center"/>
              <w:rPr>
                <w:color w:val="000000"/>
                <w:szCs w:val="21"/>
              </w:rPr>
            </w:pPr>
            <w:r>
              <w:rPr>
                <w:rFonts w:hAnsi="仿宋_GB2312"/>
                <w:color w:val="000000"/>
                <w:kern w:val="0"/>
                <w:szCs w:val="21"/>
              </w:rPr>
              <w:t>职业素质延展课</w:t>
            </w:r>
          </w:p>
        </w:tc>
        <w:tc>
          <w:tcPr>
            <w:tcW w:w="1098" w:type="dxa"/>
            <w:vAlign w:val="center"/>
          </w:tcPr>
          <w:p>
            <w:pPr>
              <w:spacing w:line="270" w:lineRule="atLeast"/>
              <w:jc w:val="center"/>
              <w:rPr>
                <w:color w:val="000000"/>
                <w:szCs w:val="21"/>
              </w:rPr>
            </w:pPr>
            <w:r>
              <w:rPr>
                <w:rFonts w:hint="eastAsia"/>
                <w:color w:val="000000"/>
                <w:szCs w:val="21"/>
              </w:rPr>
              <w:t>0</w:t>
            </w:r>
          </w:p>
        </w:tc>
        <w:tc>
          <w:tcPr>
            <w:tcW w:w="1099" w:type="dxa"/>
            <w:vAlign w:val="center"/>
          </w:tcPr>
          <w:p>
            <w:pPr>
              <w:spacing w:line="270" w:lineRule="atLeast"/>
              <w:jc w:val="center"/>
              <w:rPr>
                <w:color w:val="000000"/>
                <w:szCs w:val="21"/>
              </w:rPr>
            </w:pPr>
            <w:r>
              <w:rPr>
                <w:rFonts w:hint="eastAsia"/>
                <w:color w:val="000000"/>
                <w:szCs w:val="21"/>
              </w:rPr>
              <w:t>6</w:t>
            </w:r>
            <w:r>
              <w:rPr>
                <w:color w:val="000000"/>
                <w:szCs w:val="21"/>
              </w:rPr>
              <w:t>0</w:t>
            </w:r>
          </w:p>
        </w:tc>
        <w:tc>
          <w:tcPr>
            <w:tcW w:w="1686" w:type="dxa"/>
            <w:vAlign w:val="center"/>
          </w:tcPr>
          <w:p>
            <w:pPr>
              <w:spacing w:line="270" w:lineRule="atLeast"/>
              <w:jc w:val="center"/>
              <w:rPr>
                <w:color w:val="000000"/>
                <w:szCs w:val="21"/>
              </w:rPr>
            </w:pPr>
            <w:r>
              <w:rPr>
                <w:rFonts w:hint="eastAsia"/>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51" w:type="dxa"/>
            <w:gridSpan w:val="2"/>
            <w:vAlign w:val="center"/>
          </w:tcPr>
          <w:p>
            <w:pPr>
              <w:spacing w:line="270" w:lineRule="atLeast"/>
              <w:jc w:val="center"/>
              <w:rPr>
                <w:color w:val="000000"/>
                <w:szCs w:val="21"/>
              </w:rPr>
            </w:pPr>
            <w:r>
              <w:rPr>
                <w:rFonts w:hAnsi="仿宋_GB2312"/>
                <w:color w:val="000000"/>
                <w:kern w:val="0"/>
                <w:szCs w:val="21"/>
              </w:rPr>
              <w:t>集中实践课程</w:t>
            </w:r>
            <w:r>
              <w:rPr>
                <w:color w:val="000000"/>
                <w:szCs w:val="21"/>
              </w:rPr>
              <w:t>（</w:t>
            </w:r>
            <w:r>
              <w:rPr>
                <w:rFonts w:eastAsia="楷体_GB2312"/>
                <w:color w:val="000000"/>
                <w:szCs w:val="21"/>
              </w:rPr>
              <w:t>含暑期工学结合社会实践</w:t>
            </w:r>
            <w:r>
              <w:rPr>
                <w:color w:val="000000"/>
                <w:szCs w:val="21"/>
              </w:rPr>
              <w:t>）</w:t>
            </w:r>
          </w:p>
        </w:tc>
        <w:tc>
          <w:tcPr>
            <w:tcW w:w="1098" w:type="dxa"/>
            <w:vAlign w:val="center"/>
          </w:tcPr>
          <w:p>
            <w:pPr>
              <w:spacing w:line="270" w:lineRule="atLeast"/>
              <w:jc w:val="center"/>
              <w:rPr>
                <w:color w:val="000000"/>
                <w:szCs w:val="21"/>
              </w:rPr>
            </w:pPr>
            <w:r>
              <w:rPr>
                <w:rFonts w:hint="eastAsia"/>
                <w:color w:val="000000"/>
                <w:szCs w:val="21"/>
              </w:rPr>
              <w:t>8</w:t>
            </w:r>
            <w:r>
              <w:rPr>
                <w:color w:val="000000"/>
                <w:szCs w:val="21"/>
              </w:rPr>
              <w:t>35</w:t>
            </w:r>
          </w:p>
        </w:tc>
        <w:tc>
          <w:tcPr>
            <w:tcW w:w="1099" w:type="dxa"/>
            <w:vAlign w:val="center"/>
          </w:tcPr>
          <w:p>
            <w:pPr>
              <w:spacing w:line="270" w:lineRule="atLeast"/>
              <w:jc w:val="center"/>
              <w:rPr>
                <w:color w:val="000000"/>
                <w:szCs w:val="21"/>
              </w:rPr>
            </w:pPr>
            <w:r>
              <w:rPr>
                <w:rFonts w:hint="eastAsia"/>
                <w:color w:val="000000"/>
                <w:szCs w:val="21"/>
              </w:rPr>
              <w:t>8</w:t>
            </w:r>
            <w:r>
              <w:rPr>
                <w:color w:val="000000"/>
                <w:szCs w:val="21"/>
              </w:rPr>
              <w:t>60</w:t>
            </w:r>
          </w:p>
        </w:tc>
        <w:tc>
          <w:tcPr>
            <w:tcW w:w="1686" w:type="dxa"/>
            <w:vAlign w:val="center"/>
          </w:tcPr>
          <w:p>
            <w:pPr>
              <w:spacing w:line="270" w:lineRule="atLeast"/>
              <w:jc w:val="center"/>
              <w:rPr>
                <w:color w:val="000000"/>
                <w:szCs w:val="21"/>
              </w:rPr>
            </w:pPr>
            <w:r>
              <w:rPr>
                <w:color w:val="000000"/>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4951" w:type="dxa"/>
            <w:gridSpan w:val="2"/>
            <w:vAlign w:val="center"/>
          </w:tcPr>
          <w:p>
            <w:pPr>
              <w:spacing w:line="270" w:lineRule="atLeast"/>
              <w:jc w:val="center"/>
              <w:rPr>
                <w:color w:val="000000"/>
                <w:kern w:val="0"/>
                <w:szCs w:val="21"/>
              </w:rPr>
            </w:pPr>
            <w:r>
              <w:rPr>
                <w:rFonts w:hAnsi="仿宋_GB2312"/>
                <w:color w:val="000000"/>
                <w:kern w:val="0"/>
                <w:szCs w:val="21"/>
              </w:rPr>
              <w:t>合</w:t>
            </w:r>
            <w:r>
              <w:rPr>
                <w:color w:val="000000"/>
                <w:kern w:val="0"/>
                <w:szCs w:val="21"/>
              </w:rPr>
              <w:t xml:space="preserve">    </w:t>
            </w:r>
            <w:r>
              <w:rPr>
                <w:rFonts w:hAnsi="仿宋_GB2312"/>
                <w:color w:val="000000"/>
                <w:kern w:val="0"/>
                <w:szCs w:val="21"/>
              </w:rPr>
              <w:t>计</w:t>
            </w:r>
          </w:p>
        </w:tc>
        <w:tc>
          <w:tcPr>
            <w:tcW w:w="1098" w:type="dxa"/>
            <w:vAlign w:val="center"/>
          </w:tcPr>
          <w:p>
            <w:pPr>
              <w:spacing w:line="270" w:lineRule="atLeast"/>
              <w:jc w:val="center"/>
              <w:rPr>
                <w:color w:val="000000"/>
                <w:szCs w:val="21"/>
              </w:rPr>
            </w:pPr>
            <w:r>
              <w:rPr>
                <w:rFonts w:hint="eastAsia"/>
                <w:color w:val="000000"/>
                <w:szCs w:val="21"/>
              </w:rPr>
              <w:t>1</w:t>
            </w:r>
            <w:r>
              <w:rPr>
                <w:color w:val="000000"/>
                <w:szCs w:val="21"/>
              </w:rPr>
              <w:t>316</w:t>
            </w:r>
          </w:p>
        </w:tc>
        <w:tc>
          <w:tcPr>
            <w:tcW w:w="1099" w:type="dxa"/>
            <w:vAlign w:val="center"/>
          </w:tcPr>
          <w:p>
            <w:pPr>
              <w:spacing w:line="270" w:lineRule="atLeast"/>
              <w:jc w:val="center"/>
              <w:rPr>
                <w:color w:val="000000"/>
                <w:szCs w:val="21"/>
              </w:rPr>
            </w:pPr>
            <w:r>
              <w:rPr>
                <w:rFonts w:hint="eastAsia"/>
                <w:color w:val="000000"/>
                <w:szCs w:val="21"/>
              </w:rPr>
              <w:t>2</w:t>
            </w:r>
            <w:r>
              <w:rPr>
                <w:color w:val="000000"/>
                <w:szCs w:val="21"/>
              </w:rPr>
              <w:t>688</w:t>
            </w:r>
          </w:p>
        </w:tc>
        <w:tc>
          <w:tcPr>
            <w:tcW w:w="1686" w:type="dxa"/>
            <w:vAlign w:val="center"/>
          </w:tcPr>
          <w:p>
            <w:pPr>
              <w:spacing w:line="270" w:lineRule="atLeast"/>
              <w:jc w:val="center"/>
              <w:rPr>
                <w:color w:val="000000"/>
                <w:szCs w:val="21"/>
              </w:rPr>
            </w:pPr>
            <w:r>
              <w:rPr>
                <w:color w:val="000000"/>
                <w:szCs w:val="21"/>
              </w:rPr>
              <w:t>145.5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Merge w:val="restart"/>
            <w:vAlign w:val="center"/>
          </w:tcPr>
          <w:p>
            <w:pPr>
              <w:spacing w:line="270" w:lineRule="atLeast"/>
              <w:jc w:val="center"/>
              <w:rPr>
                <w:color w:val="000000"/>
                <w:szCs w:val="21"/>
              </w:rPr>
            </w:pPr>
            <w:r>
              <w:rPr>
                <w:color w:val="000000"/>
                <w:szCs w:val="21"/>
              </w:rPr>
              <w:t>课外素质教育活动</w:t>
            </w:r>
          </w:p>
          <w:p>
            <w:pPr>
              <w:spacing w:line="270" w:lineRule="atLeast"/>
              <w:jc w:val="center"/>
              <w:rPr>
                <w:rFonts w:eastAsia="楷体_GB2312"/>
                <w:color w:val="000000"/>
                <w:szCs w:val="21"/>
              </w:rPr>
            </w:pPr>
            <w:r>
              <w:rPr>
                <w:rFonts w:hint="eastAsia" w:eastAsia="楷体_GB2312"/>
                <w:color w:val="000000"/>
                <w:szCs w:val="21"/>
              </w:rPr>
              <w:t>(</w:t>
            </w:r>
            <w:r>
              <w:rPr>
                <w:rFonts w:eastAsia="楷体_GB2312"/>
                <w:color w:val="000000"/>
                <w:szCs w:val="21"/>
              </w:rPr>
              <w:t>共修满10个学分</w:t>
            </w:r>
            <w:r>
              <w:rPr>
                <w:rFonts w:hint="eastAsia" w:eastAsia="楷体_GB2312"/>
                <w:color w:val="000000"/>
                <w:szCs w:val="21"/>
              </w:rPr>
              <w:t>)</w:t>
            </w:r>
          </w:p>
        </w:tc>
        <w:tc>
          <w:tcPr>
            <w:tcW w:w="2996" w:type="dxa"/>
            <w:vAlign w:val="center"/>
          </w:tcPr>
          <w:p>
            <w:pPr>
              <w:spacing w:line="270" w:lineRule="atLeast"/>
              <w:jc w:val="center"/>
              <w:rPr>
                <w:color w:val="000000"/>
                <w:szCs w:val="21"/>
              </w:rPr>
            </w:pPr>
            <w:r>
              <w:rPr>
                <w:rFonts w:eastAsia="汉仪书宋一简"/>
                <w:color w:val="000000"/>
                <w:szCs w:val="21"/>
              </w:rPr>
              <w:t>人文与专业素质类讲座、活动</w:t>
            </w:r>
          </w:p>
        </w:tc>
        <w:tc>
          <w:tcPr>
            <w:tcW w:w="1098" w:type="dxa"/>
            <w:vAlign w:val="center"/>
          </w:tcPr>
          <w:p>
            <w:pPr>
              <w:spacing w:line="270" w:lineRule="atLeast"/>
              <w:jc w:val="center"/>
              <w:rPr>
                <w:color w:val="000000"/>
                <w:szCs w:val="21"/>
              </w:rPr>
            </w:pPr>
          </w:p>
        </w:tc>
        <w:tc>
          <w:tcPr>
            <w:tcW w:w="1099" w:type="dxa"/>
            <w:vAlign w:val="center"/>
          </w:tcPr>
          <w:p>
            <w:pPr>
              <w:spacing w:line="270" w:lineRule="atLeast"/>
              <w:jc w:val="center"/>
              <w:rPr>
                <w:color w:val="000000"/>
                <w:szCs w:val="21"/>
              </w:rPr>
            </w:pPr>
          </w:p>
        </w:tc>
        <w:tc>
          <w:tcPr>
            <w:tcW w:w="1686" w:type="dxa"/>
            <w:vAlign w:val="center"/>
          </w:tcPr>
          <w:p>
            <w:pPr>
              <w:spacing w:line="270" w:lineRule="atLeast"/>
              <w:jc w:val="center"/>
              <w:rPr>
                <w:color w:val="000000"/>
                <w:szCs w:val="21"/>
              </w:rPr>
            </w:pPr>
            <w:r>
              <w:rPr>
                <w:rFonts w:eastAsia="汉仪书宋一简"/>
                <w:color w:val="000000"/>
                <w:szCs w:val="21"/>
              </w:rPr>
              <w:t>至少完成3学分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955" w:type="dxa"/>
            <w:vMerge w:val="continue"/>
            <w:vAlign w:val="center"/>
          </w:tcPr>
          <w:p>
            <w:pPr>
              <w:spacing w:line="270" w:lineRule="atLeast"/>
              <w:jc w:val="center"/>
              <w:rPr>
                <w:color w:val="000000"/>
                <w:szCs w:val="21"/>
              </w:rPr>
            </w:pPr>
          </w:p>
        </w:tc>
        <w:tc>
          <w:tcPr>
            <w:tcW w:w="2996" w:type="dxa"/>
            <w:vAlign w:val="center"/>
          </w:tcPr>
          <w:p>
            <w:pPr>
              <w:spacing w:line="270" w:lineRule="atLeast"/>
              <w:jc w:val="center"/>
              <w:rPr>
                <w:color w:val="000000"/>
                <w:szCs w:val="21"/>
              </w:rPr>
            </w:pPr>
            <w:r>
              <w:rPr>
                <w:rFonts w:eastAsia="汉仪书宋一简"/>
                <w:color w:val="000000"/>
                <w:szCs w:val="21"/>
              </w:rPr>
              <w:t>实践创新类活动</w:t>
            </w:r>
          </w:p>
        </w:tc>
        <w:tc>
          <w:tcPr>
            <w:tcW w:w="1098" w:type="dxa"/>
            <w:vAlign w:val="center"/>
          </w:tcPr>
          <w:p>
            <w:pPr>
              <w:spacing w:line="270" w:lineRule="atLeast"/>
              <w:jc w:val="center"/>
              <w:rPr>
                <w:color w:val="000000"/>
                <w:szCs w:val="21"/>
              </w:rPr>
            </w:pPr>
          </w:p>
        </w:tc>
        <w:tc>
          <w:tcPr>
            <w:tcW w:w="1099" w:type="dxa"/>
            <w:vAlign w:val="center"/>
          </w:tcPr>
          <w:p>
            <w:pPr>
              <w:spacing w:line="270" w:lineRule="atLeast"/>
              <w:jc w:val="center"/>
              <w:rPr>
                <w:color w:val="000000"/>
                <w:szCs w:val="21"/>
              </w:rPr>
            </w:pPr>
          </w:p>
        </w:tc>
        <w:tc>
          <w:tcPr>
            <w:tcW w:w="1686" w:type="dxa"/>
            <w:vAlign w:val="center"/>
          </w:tcPr>
          <w:p>
            <w:pPr>
              <w:spacing w:line="270" w:lineRule="atLeast"/>
              <w:jc w:val="center"/>
              <w:rPr>
                <w:color w:val="000000"/>
                <w:szCs w:val="21"/>
              </w:rPr>
            </w:pPr>
            <w:r>
              <w:rPr>
                <w:rFonts w:eastAsia="汉仪书宋一简"/>
                <w:color w:val="000000"/>
                <w:szCs w:val="21"/>
              </w:rPr>
              <w:t>至少完成2学分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955" w:type="dxa"/>
            <w:vMerge w:val="continue"/>
            <w:vAlign w:val="center"/>
          </w:tcPr>
          <w:p>
            <w:pPr>
              <w:spacing w:line="270" w:lineRule="atLeast"/>
              <w:jc w:val="center"/>
              <w:rPr>
                <w:color w:val="000000"/>
                <w:szCs w:val="21"/>
              </w:rPr>
            </w:pPr>
          </w:p>
        </w:tc>
        <w:tc>
          <w:tcPr>
            <w:tcW w:w="2996" w:type="dxa"/>
            <w:vAlign w:val="center"/>
          </w:tcPr>
          <w:p>
            <w:pPr>
              <w:spacing w:line="270" w:lineRule="atLeast"/>
              <w:jc w:val="center"/>
              <w:rPr>
                <w:color w:val="000000"/>
                <w:szCs w:val="21"/>
              </w:rPr>
            </w:pPr>
            <w:r>
              <w:rPr>
                <w:rFonts w:eastAsia="汉仪书宋一简"/>
                <w:color w:val="000000"/>
                <w:szCs w:val="21"/>
              </w:rPr>
              <w:t>素质拓展训练</w:t>
            </w:r>
          </w:p>
        </w:tc>
        <w:tc>
          <w:tcPr>
            <w:tcW w:w="1098" w:type="dxa"/>
            <w:vAlign w:val="center"/>
          </w:tcPr>
          <w:p>
            <w:pPr>
              <w:spacing w:line="270" w:lineRule="atLeast"/>
              <w:jc w:val="center"/>
              <w:rPr>
                <w:color w:val="000000"/>
                <w:szCs w:val="21"/>
              </w:rPr>
            </w:pPr>
          </w:p>
        </w:tc>
        <w:tc>
          <w:tcPr>
            <w:tcW w:w="1099" w:type="dxa"/>
            <w:vAlign w:val="center"/>
          </w:tcPr>
          <w:p>
            <w:pPr>
              <w:spacing w:line="270" w:lineRule="atLeast"/>
              <w:jc w:val="center"/>
              <w:rPr>
                <w:color w:val="000000"/>
                <w:szCs w:val="21"/>
              </w:rPr>
            </w:pPr>
          </w:p>
        </w:tc>
        <w:tc>
          <w:tcPr>
            <w:tcW w:w="1686" w:type="dxa"/>
            <w:vAlign w:val="center"/>
          </w:tcPr>
          <w:p>
            <w:pPr>
              <w:spacing w:line="270" w:lineRule="atLeast"/>
              <w:jc w:val="center"/>
              <w:rPr>
                <w:color w:val="000000"/>
                <w:szCs w:val="21"/>
              </w:rPr>
            </w:pPr>
            <w:r>
              <w:rPr>
                <w:rFonts w:eastAsia="汉仪书宋一简"/>
                <w:color w:val="000000"/>
                <w:szCs w:val="21"/>
              </w:rPr>
              <w:t>至少完成1学分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1955" w:type="dxa"/>
            <w:vMerge w:val="continue"/>
            <w:vAlign w:val="center"/>
          </w:tcPr>
          <w:p>
            <w:pPr>
              <w:spacing w:line="270" w:lineRule="atLeast"/>
              <w:jc w:val="center"/>
              <w:rPr>
                <w:color w:val="000000"/>
                <w:szCs w:val="21"/>
              </w:rPr>
            </w:pPr>
          </w:p>
        </w:tc>
        <w:tc>
          <w:tcPr>
            <w:tcW w:w="2996" w:type="dxa"/>
            <w:vAlign w:val="center"/>
          </w:tcPr>
          <w:p>
            <w:pPr>
              <w:spacing w:line="270" w:lineRule="atLeast"/>
              <w:jc w:val="center"/>
              <w:rPr>
                <w:color w:val="000000"/>
                <w:szCs w:val="21"/>
              </w:rPr>
            </w:pPr>
            <w:r>
              <w:rPr>
                <w:rFonts w:eastAsia="汉仪书宋一简"/>
                <w:color w:val="000000"/>
                <w:szCs w:val="21"/>
              </w:rPr>
              <w:t>技能素质类考证</w:t>
            </w:r>
          </w:p>
        </w:tc>
        <w:tc>
          <w:tcPr>
            <w:tcW w:w="1098" w:type="dxa"/>
            <w:vAlign w:val="center"/>
          </w:tcPr>
          <w:p>
            <w:pPr>
              <w:spacing w:line="270" w:lineRule="atLeast"/>
              <w:jc w:val="center"/>
              <w:rPr>
                <w:color w:val="000000"/>
                <w:szCs w:val="21"/>
              </w:rPr>
            </w:pPr>
          </w:p>
        </w:tc>
        <w:tc>
          <w:tcPr>
            <w:tcW w:w="1099" w:type="dxa"/>
            <w:vAlign w:val="center"/>
          </w:tcPr>
          <w:p>
            <w:pPr>
              <w:spacing w:line="270" w:lineRule="atLeast"/>
              <w:jc w:val="center"/>
              <w:rPr>
                <w:color w:val="000000"/>
                <w:szCs w:val="21"/>
              </w:rPr>
            </w:pPr>
          </w:p>
        </w:tc>
        <w:tc>
          <w:tcPr>
            <w:tcW w:w="1686" w:type="dxa"/>
            <w:vAlign w:val="center"/>
          </w:tcPr>
          <w:p>
            <w:pPr>
              <w:spacing w:line="270" w:lineRule="atLeast"/>
              <w:jc w:val="center"/>
              <w:rPr>
                <w:color w:val="000000"/>
                <w:szCs w:val="21"/>
              </w:rPr>
            </w:pPr>
            <w:r>
              <w:rPr>
                <w:color w:val="000000"/>
                <w:szCs w:val="21"/>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Align w:val="center"/>
          </w:tcPr>
          <w:p>
            <w:pPr>
              <w:spacing w:line="270" w:lineRule="atLeast"/>
              <w:jc w:val="center"/>
              <w:rPr>
                <w:color w:val="000000"/>
                <w:szCs w:val="21"/>
              </w:rPr>
            </w:pPr>
            <w:r>
              <w:rPr>
                <w:rFonts w:hint="eastAsia" w:eastAsia="黑体"/>
                <w:b/>
                <w:color w:val="000000"/>
                <w:szCs w:val="21"/>
              </w:rPr>
              <w:t>备  注</w:t>
            </w:r>
          </w:p>
        </w:tc>
        <w:tc>
          <w:tcPr>
            <w:tcW w:w="6879" w:type="dxa"/>
            <w:gridSpan w:val="4"/>
            <w:vAlign w:val="center"/>
          </w:tcPr>
          <w:p>
            <w:pPr>
              <w:spacing w:line="270" w:lineRule="atLeast"/>
              <w:rPr>
                <w:color w:val="000000"/>
                <w:szCs w:val="21"/>
              </w:rPr>
            </w:pPr>
            <w:r>
              <w:rPr>
                <w:rFonts w:hint="eastAsia"/>
                <w:color w:val="000000"/>
                <w:szCs w:val="21"/>
              </w:rPr>
              <w:t>实践学时占总学时比例（%）：5</w:t>
            </w:r>
            <w:r>
              <w:rPr>
                <w:color w:val="000000"/>
                <w:szCs w:val="21"/>
              </w:rPr>
              <w:t>2</w:t>
            </w:r>
          </w:p>
        </w:tc>
      </w:tr>
    </w:tbl>
    <w:p>
      <w:pPr>
        <w:pStyle w:val="45"/>
      </w:pPr>
      <w:r>
        <w:rPr>
          <w:rFonts w:hint="eastAsia"/>
        </w:rPr>
        <w:t>6.教学进程</w:t>
      </w:r>
    </w:p>
    <w:p>
      <w:pPr>
        <w:pStyle w:val="34"/>
        <w:spacing w:line="440" w:lineRule="exact"/>
        <w:ind w:firstLine="470" w:firstLineChars="196"/>
        <w:rPr>
          <w:color w:val="000000"/>
        </w:rPr>
      </w:pPr>
      <w:r>
        <w:rPr>
          <w:rFonts w:hint="eastAsia"/>
          <w:color w:val="000000"/>
        </w:rPr>
        <w:t>附表4：专业教学计划与教学进程表（详见附件）</w:t>
      </w:r>
    </w:p>
    <w:p>
      <w:pPr>
        <w:pStyle w:val="44"/>
        <w:ind w:firstLine="480"/>
      </w:pPr>
      <w:bookmarkStart w:id="125" w:name="_Toc75253731"/>
      <w:bookmarkStart w:id="126" w:name="_Toc29361"/>
      <w:bookmarkStart w:id="127" w:name="_Toc78431544"/>
      <w:r>
        <w:rPr>
          <w:rFonts w:hint="eastAsia"/>
          <w:b/>
          <w:bCs w:val="0"/>
        </w:rPr>
        <w:t>（三）核心课程介绍</w:t>
      </w:r>
      <w:bookmarkEnd w:id="125"/>
      <w:bookmarkEnd w:id="126"/>
      <w:bookmarkEnd w:id="127"/>
    </w:p>
    <w:p>
      <w:pPr>
        <w:pStyle w:val="34"/>
        <w:spacing w:line="440" w:lineRule="exact"/>
        <w:ind w:firstLine="470" w:firstLineChars="196"/>
        <w:rPr>
          <w:rFonts w:hint="eastAsia" w:hAnsi="Times New Roman"/>
          <w:color w:val="000000"/>
        </w:rPr>
      </w:pPr>
      <w:r>
        <w:rPr>
          <w:rFonts w:hint="eastAsia" w:hAnsi="Times New Roman"/>
          <w:color w:val="000000"/>
        </w:rPr>
        <w:t>1</w:t>
      </w:r>
      <w:r>
        <w:rPr>
          <w:rFonts w:hAnsi="Times New Roman"/>
          <w:color w:val="000000"/>
        </w:rPr>
        <w:t>.</w:t>
      </w:r>
      <w:r>
        <w:rPr>
          <w:rFonts w:hint="eastAsia" w:hAnsi="Times New Roman"/>
          <w:color w:val="000000"/>
        </w:rPr>
        <w:t>《互联网金融营销》</w:t>
      </w:r>
      <w:bookmarkStart w:id="128" w:name="_Hlk78382257"/>
      <w:r>
        <w:rPr>
          <w:rFonts w:hint="eastAsia" w:hAnsi="Times New Roman"/>
          <w:color w:val="000000"/>
        </w:rPr>
        <w:t>（9</w:t>
      </w:r>
      <w:r>
        <w:rPr>
          <w:rFonts w:hAnsi="Times New Roman"/>
          <w:color w:val="000000"/>
        </w:rPr>
        <w:t>0</w:t>
      </w:r>
      <w:r>
        <w:rPr>
          <w:rFonts w:hint="eastAsia" w:hAnsi="Times New Roman"/>
          <w:color w:val="000000"/>
        </w:rPr>
        <w:t>学时、6学分）</w:t>
      </w:r>
      <w:bookmarkEnd w:id="128"/>
    </w:p>
    <w:p>
      <w:pPr>
        <w:pStyle w:val="34"/>
        <w:spacing w:line="440" w:lineRule="exact"/>
        <w:ind w:firstLine="470" w:firstLineChars="196"/>
        <w:rPr>
          <w:rFonts w:hint="eastAsia" w:hAnsi="Times New Roman"/>
          <w:color w:val="000000"/>
        </w:rPr>
      </w:pPr>
      <w:r>
        <w:rPr>
          <w:rFonts w:hint="eastAsia" w:hAnsi="Times New Roman"/>
          <w:color w:val="000000"/>
        </w:rPr>
        <w:t>本课程讲授互联网金融营销模式与产品销售等理论、方法与内容，使学生掌握互联网金融消费属性有初步的认知和分析能力。通过本课程的学习，使学生理解互联网金融产品的分析、市场分析等相关工作，具有初步的市场、产品分析能力，能够承担与互联网金融营销与销售相关的工作。</w:t>
      </w:r>
    </w:p>
    <w:p>
      <w:pPr>
        <w:pStyle w:val="34"/>
        <w:spacing w:line="440" w:lineRule="exact"/>
        <w:ind w:firstLine="470" w:firstLineChars="196"/>
        <w:rPr>
          <w:rFonts w:hint="eastAsia" w:hAnsi="Times New Roman"/>
          <w:color w:val="000000"/>
        </w:rPr>
      </w:pPr>
      <w:r>
        <w:rPr>
          <w:rFonts w:hint="eastAsia" w:hAnsi="Times New Roman"/>
          <w:color w:val="000000"/>
        </w:rPr>
        <w:t>主要内容是从互联网金融视角出发，以基于产品的营销、基于场景的营销、基于内容的营销为主线，讲授互联网营销的方法和工具。包含金融学、市场营销学、网络营销、信息技术等方面的知识，综合性强。通过课程讲授，一方面增强学生对于互联网金融营销的认识，另一方面帮助学生学会运用互联网金融营销方法并优化。使学生具有初步的市场营销策划能力、产品分析能力，金融平台的规划、分析与设计、互联网营销评价体系的建立，能够承担与互联网金融营销与销售相关的工作。</w:t>
      </w:r>
    </w:p>
    <w:p>
      <w:pPr>
        <w:pStyle w:val="34"/>
        <w:spacing w:line="440" w:lineRule="exact"/>
        <w:ind w:firstLine="470" w:firstLineChars="196"/>
        <w:rPr>
          <w:rFonts w:hint="eastAsia" w:hAnsi="Times New Roman"/>
          <w:color w:val="000000"/>
        </w:rPr>
      </w:pPr>
      <w:r>
        <w:rPr>
          <w:rFonts w:hint="eastAsia" w:hAnsi="Times New Roman"/>
          <w:color w:val="000000"/>
        </w:rPr>
        <w:t>2</w:t>
      </w:r>
      <w:r>
        <w:rPr>
          <w:rFonts w:hAnsi="Times New Roman"/>
          <w:color w:val="000000"/>
        </w:rPr>
        <w:t>.</w:t>
      </w:r>
      <w:r>
        <w:rPr>
          <w:rFonts w:hint="eastAsia" w:hAnsi="Times New Roman"/>
          <w:color w:val="000000"/>
        </w:rPr>
        <w:t>《金融市场学》（9</w:t>
      </w:r>
      <w:r>
        <w:rPr>
          <w:rFonts w:hAnsi="Times New Roman"/>
          <w:color w:val="000000"/>
        </w:rPr>
        <w:t>0学时、</w:t>
      </w:r>
      <w:r>
        <w:rPr>
          <w:rFonts w:hint="eastAsia" w:hAnsi="Times New Roman"/>
          <w:color w:val="000000"/>
        </w:rPr>
        <w:t>6</w:t>
      </w:r>
      <w:r>
        <w:rPr>
          <w:rFonts w:hAnsi="Times New Roman"/>
          <w:color w:val="000000"/>
        </w:rPr>
        <w:t>学分</w:t>
      </w:r>
      <w:r>
        <w:rPr>
          <w:rFonts w:hint="eastAsia" w:hAnsi="Times New Roman"/>
          <w:color w:val="000000"/>
        </w:rPr>
        <w:t>）</w:t>
      </w:r>
    </w:p>
    <w:p>
      <w:pPr>
        <w:pStyle w:val="34"/>
        <w:spacing w:line="440" w:lineRule="exact"/>
        <w:ind w:firstLine="470" w:firstLineChars="196"/>
        <w:rPr>
          <w:rFonts w:hint="eastAsia" w:hAnsi="Times New Roman"/>
          <w:color w:val="000000"/>
        </w:rPr>
      </w:pPr>
      <w:r>
        <w:rPr>
          <w:rFonts w:hint="eastAsia" w:hAnsi="Times New Roman"/>
          <w:color w:val="000000"/>
        </w:rPr>
        <w:t>本课程讲授目前全球宏观经济、金融行业以及校企合作的多方面实际发展需要而开发，《金融市场学》在“金融科技应用”专业中属于专业学习领域课程，从属于人才培养方案中的职业技能模块，本专业具有核心地位，是学习后续任何金融核心课程包括《投资学》、《风险管理》等课程的重要基础。通过本门课程的学习，学生应具备作为金融行业从业者的基本素养，要求掌握与证券市场与证券金融机构相关知识和证券投资分析的基本能力。</w:t>
      </w:r>
    </w:p>
    <w:p>
      <w:pPr>
        <w:pStyle w:val="34"/>
        <w:spacing w:line="440" w:lineRule="exact"/>
        <w:ind w:firstLine="470" w:firstLineChars="196"/>
        <w:rPr>
          <w:rFonts w:hint="eastAsia" w:hAnsi="Times New Roman"/>
          <w:color w:val="000000"/>
        </w:rPr>
      </w:pPr>
      <w:r>
        <w:rPr>
          <w:rFonts w:hint="eastAsia" w:hAnsi="Times New Roman"/>
          <w:color w:val="000000"/>
        </w:rPr>
        <w:t>通过对本课程的基本概念和基本方法的讲解，使学生掌握金融市场基础知识、基本理论、基本规则和基本技能。掌握股票、债券、基金和衍生工具的基本知识、操作流程、分析方法，为学生毕业后从事证券从业工作奠定基础。在我院“金融科技应用”专业课程体系中本课程属于职业技能课程，是在“金融科技应用”专业中起到承上启下作用的课程，为学生后续的课程和毕业以后从事证券从业工业奠定坚实基础。</w:t>
      </w:r>
    </w:p>
    <w:p>
      <w:pPr>
        <w:pStyle w:val="34"/>
        <w:spacing w:line="440" w:lineRule="exact"/>
        <w:ind w:firstLine="470" w:firstLineChars="196"/>
        <w:rPr>
          <w:rFonts w:hint="eastAsia" w:hAnsi="Times New Roman"/>
          <w:color w:val="000000"/>
        </w:rPr>
      </w:pPr>
      <w:r>
        <w:rPr>
          <w:rFonts w:hint="eastAsia" w:hAnsi="Times New Roman"/>
          <w:color w:val="000000"/>
        </w:rPr>
        <w:t>3</w:t>
      </w:r>
      <w:r>
        <w:rPr>
          <w:rFonts w:hAnsi="Times New Roman"/>
          <w:color w:val="000000"/>
        </w:rPr>
        <w:t>.</w:t>
      </w:r>
      <w:r>
        <w:rPr>
          <w:rFonts w:hint="eastAsia" w:hAnsi="Times New Roman"/>
          <w:color w:val="000000"/>
        </w:rPr>
        <w:t>《征信技术与实务》（9</w:t>
      </w:r>
      <w:r>
        <w:rPr>
          <w:rFonts w:hAnsi="Times New Roman"/>
          <w:color w:val="000000"/>
        </w:rPr>
        <w:t>0</w:t>
      </w:r>
      <w:r>
        <w:rPr>
          <w:rFonts w:hint="eastAsia" w:hAnsi="Times New Roman"/>
          <w:color w:val="000000"/>
        </w:rPr>
        <w:t>学时、6学分）</w:t>
      </w:r>
    </w:p>
    <w:p>
      <w:pPr>
        <w:pStyle w:val="34"/>
        <w:spacing w:line="440" w:lineRule="exact"/>
        <w:ind w:firstLine="470" w:firstLineChars="196"/>
        <w:rPr>
          <w:rFonts w:hint="eastAsia" w:hAnsi="Times New Roman"/>
          <w:color w:val="000000"/>
        </w:rPr>
      </w:pPr>
      <w:r>
        <w:rPr>
          <w:rFonts w:hint="eastAsia" w:hAnsi="Times New Roman"/>
          <w:color w:val="000000"/>
        </w:rPr>
        <w:t>本课程讲授征信知识，从中国当前征信发展的实际出发，结合高职高专学生的特点，使学生掌握互联网金融征信的主要对象、征信产品、征信机构等，为互联网金融营销岗位、投资与理财岗位和互联网金融运营岗位提供征信基本知识和技能，是金融科技应用专业的专业核心课程之一。</w:t>
      </w:r>
    </w:p>
    <w:p>
      <w:pPr>
        <w:pStyle w:val="34"/>
        <w:spacing w:line="440" w:lineRule="exact"/>
        <w:ind w:firstLine="470" w:firstLineChars="196"/>
        <w:rPr>
          <w:rFonts w:hint="eastAsia" w:hAnsi="Times New Roman"/>
          <w:color w:val="000000"/>
        </w:rPr>
      </w:pPr>
      <w:r>
        <w:rPr>
          <w:rFonts w:hint="eastAsia" w:hAnsi="Times New Roman"/>
          <w:color w:val="000000"/>
        </w:rPr>
        <w:t>教学主要内容包括：了解征信的功能和特征；了解征信的起源与发展，明确征信对整个社会的意义；掌握征信体系的含义、内容；熟悉征信数据库的概念与功能；理解征信数据库的类型；熟悉金融信用信息基础数据库的概念和功能；熟悉掌握第三方平台征信数据库的概念和模式；了解融信用信息基础数据库的意义和发展历程；掌握企业尽职调查、企业征信报告、商账管理以及数据增值服务的概念与主要内容；熟悉企业证信信息的内容、来源以及主要方式；掌握企业信用评价体系；熟悉征信报告的构成；掌握征信报告各项内容的含义；熟悉个人征信产品中的个人信用调查服务、个人征信报告服务与个人信用评分服务；掌握个人征信信息的主要内容；掌握个人征信信息的主要来源与采集方式；理解个人信用评分的原理，个人信用评分模型的开发与检验以及个人信用评分模型的类型；理解国内外大数据征信的主要平台和监管的法律法规；了解征信业的未来发展，包括互联网经济下的征信模式，我国大数据征信市场发展的方向及大数据征信的发展趋势。</w:t>
      </w:r>
    </w:p>
    <w:p>
      <w:pPr>
        <w:pStyle w:val="44"/>
        <w:ind w:firstLine="480"/>
      </w:pPr>
      <w:bookmarkStart w:id="129" w:name="_Toc78431545"/>
      <w:bookmarkStart w:id="130" w:name="_Toc15353"/>
      <w:bookmarkStart w:id="131" w:name="_Toc75253732"/>
      <w:r>
        <w:rPr>
          <w:rFonts w:hint="eastAsia"/>
        </w:rPr>
        <w:t>（四）职业资格证书</w:t>
      </w:r>
      <w:r>
        <w:t>和“1+X”</w:t>
      </w:r>
      <w:r>
        <w:rPr>
          <w:rFonts w:hint="eastAsia"/>
        </w:rPr>
        <w:t>证书</w:t>
      </w:r>
      <w:bookmarkEnd w:id="129"/>
      <w:bookmarkEnd w:id="130"/>
    </w:p>
    <w:p>
      <w:pPr>
        <w:pStyle w:val="34"/>
        <w:spacing w:line="440" w:lineRule="exact"/>
        <w:ind w:firstLine="470" w:firstLineChars="196"/>
        <w:rPr>
          <w:rFonts w:hint="eastAsia" w:hAnsi="Times New Roman"/>
          <w:color w:val="000000"/>
        </w:rPr>
      </w:pPr>
      <w:r>
        <w:rPr>
          <w:rFonts w:hint="eastAsia" w:hAnsi="Times New Roman"/>
          <w:color w:val="000000"/>
        </w:rPr>
        <w:t>本课程在</w:t>
      </w:r>
      <w:r>
        <w:rPr>
          <w:rFonts w:hAnsi="Times New Roman"/>
          <w:color w:val="000000"/>
        </w:rPr>
        <w:t>2</w:t>
      </w:r>
      <w:r>
        <w:rPr>
          <w:rFonts w:hint="eastAsia" w:hAnsi="Times New Roman"/>
          <w:color w:val="000000"/>
        </w:rPr>
        <w:t>-</w:t>
      </w:r>
      <w:r>
        <w:rPr>
          <w:rFonts w:hAnsi="Times New Roman"/>
          <w:color w:val="000000"/>
        </w:rPr>
        <w:t>6</w:t>
      </w:r>
      <w:r>
        <w:rPr>
          <w:rFonts w:hint="eastAsia" w:hAnsi="Times New Roman"/>
          <w:color w:val="000000"/>
        </w:rPr>
        <w:t>学期，通过《金融市场学》这门课程和证券从业考试科目的学习，使学生能够考取证券从业资格证书，为进入职场做准备。</w:t>
      </w:r>
    </w:p>
    <w:p>
      <w:pPr>
        <w:pStyle w:val="44"/>
        <w:ind w:firstLine="480"/>
      </w:pPr>
      <w:bookmarkStart w:id="132" w:name="_Toc152"/>
      <w:bookmarkStart w:id="133" w:name="_Toc78431546"/>
      <w:r>
        <w:rPr>
          <w:rFonts w:hint="eastAsia"/>
        </w:rPr>
        <w:t>（五）考试考核与毕业要求</w:t>
      </w:r>
      <w:bookmarkEnd w:id="131"/>
      <w:bookmarkEnd w:id="132"/>
      <w:bookmarkEnd w:id="133"/>
    </w:p>
    <w:p>
      <w:pPr>
        <w:spacing w:line="380" w:lineRule="exact"/>
        <w:ind w:firstLine="480" w:firstLineChars="200"/>
        <w:rPr>
          <w:rFonts w:hint="eastAsia" w:ascii="宋体" w:hAnsi="宋体"/>
          <w:color w:val="000000"/>
          <w:sz w:val="24"/>
        </w:rPr>
      </w:pPr>
      <w:r>
        <w:rPr>
          <w:rFonts w:hint="eastAsia" w:ascii="宋体" w:hAnsi="宋体"/>
          <w:color w:val="000000"/>
          <w:sz w:val="24"/>
        </w:rPr>
        <w:t>1．修满</w:t>
      </w:r>
      <w:r>
        <w:rPr>
          <w:rFonts w:hint="eastAsia" w:ascii="宋体" w:hAnsi="宋体"/>
          <w:sz w:val="24"/>
        </w:rPr>
        <w:t>144.5</w:t>
      </w:r>
      <w:r>
        <w:rPr>
          <w:rFonts w:hint="eastAsia" w:ascii="宋体" w:hAnsi="宋体"/>
          <w:color w:val="000000"/>
          <w:sz w:val="24"/>
        </w:rPr>
        <w:t>学分，且所有必修课程考核合格。</w:t>
      </w:r>
    </w:p>
    <w:p>
      <w:pPr>
        <w:spacing w:line="380" w:lineRule="exact"/>
        <w:ind w:firstLine="480" w:firstLineChars="200"/>
        <w:rPr>
          <w:rFonts w:hint="eastAsia" w:ascii="宋体" w:hAnsi="宋体"/>
          <w:color w:val="000000"/>
          <w:sz w:val="24"/>
        </w:rPr>
      </w:pPr>
      <w:r>
        <w:rPr>
          <w:rFonts w:hint="eastAsia" w:ascii="宋体" w:hAnsi="宋体"/>
          <w:color w:val="000000"/>
          <w:sz w:val="24"/>
        </w:rPr>
        <w:t>2．完成各实践性教学环节的学习，成绩合格。</w:t>
      </w:r>
    </w:p>
    <w:p>
      <w:pPr>
        <w:spacing w:line="380" w:lineRule="exact"/>
        <w:ind w:firstLine="480" w:firstLineChars="200"/>
        <w:rPr>
          <w:rFonts w:ascii="宋体" w:hAnsi="宋体"/>
          <w:color w:val="000000"/>
          <w:sz w:val="24"/>
        </w:rPr>
      </w:pPr>
      <w:r>
        <w:rPr>
          <w:rFonts w:hint="eastAsia" w:ascii="宋体" w:hAnsi="宋体"/>
          <w:color w:val="000000"/>
          <w:sz w:val="24"/>
        </w:rPr>
        <w:t>3．必须获得本专业教学计划规定的下列技能等级证书。</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1843"/>
        <w:gridCol w:w="1417"/>
        <w:gridCol w:w="1418"/>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80" w:lineRule="exact"/>
              <w:rPr>
                <w:rFonts w:hint="eastAsia" w:ascii="宋体" w:hAnsi="宋体"/>
                <w:color w:val="000000"/>
                <w:sz w:val="24"/>
              </w:rPr>
            </w:pPr>
            <w:r>
              <w:rPr>
                <w:rFonts w:hint="eastAsia" w:ascii="宋体" w:hAnsi="宋体"/>
                <w:color w:val="000000"/>
                <w:sz w:val="24"/>
              </w:rPr>
              <w:t>序号</w:t>
            </w:r>
          </w:p>
        </w:tc>
        <w:tc>
          <w:tcPr>
            <w:tcW w:w="1276" w:type="dxa"/>
          </w:tcPr>
          <w:p>
            <w:pPr>
              <w:spacing w:line="380" w:lineRule="exact"/>
              <w:rPr>
                <w:rFonts w:hint="eastAsia" w:ascii="宋体" w:hAnsi="宋体"/>
                <w:color w:val="000000"/>
                <w:sz w:val="24"/>
              </w:rPr>
            </w:pPr>
            <w:r>
              <w:rPr>
                <w:rFonts w:hint="eastAsia" w:ascii="宋体" w:hAnsi="宋体"/>
                <w:color w:val="000000"/>
                <w:sz w:val="24"/>
              </w:rPr>
              <w:t>考核项目</w:t>
            </w:r>
          </w:p>
        </w:tc>
        <w:tc>
          <w:tcPr>
            <w:tcW w:w="1843" w:type="dxa"/>
          </w:tcPr>
          <w:p>
            <w:pPr>
              <w:spacing w:line="380" w:lineRule="exact"/>
              <w:rPr>
                <w:rFonts w:hint="eastAsia" w:ascii="宋体" w:hAnsi="宋体"/>
                <w:color w:val="000000"/>
                <w:sz w:val="24"/>
              </w:rPr>
            </w:pPr>
            <w:r>
              <w:rPr>
                <w:rFonts w:hint="eastAsia" w:ascii="宋体" w:hAnsi="宋体"/>
                <w:color w:val="000000"/>
                <w:sz w:val="24"/>
              </w:rPr>
              <w:t>考核发证部门</w:t>
            </w:r>
          </w:p>
        </w:tc>
        <w:tc>
          <w:tcPr>
            <w:tcW w:w="1417" w:type="dxa"/>
          </w:tcPr>
          <w:p>
            <w:pPr>
              <w:spacing w:line="380" w:lineRule="exact"/>
              <w:rPr>
                <w:rFonts w:hint="eastAsia" w:ascii="宋体" w:hAnsi="宋体"/>
                <w:color w:val="000000"/>
                <w:sz w:val="24"/>
              </w:rPr>
            </w:pPr>
            <w:r>
              <w:rPr>
                <w:rFonts w:hint="eastAsia" w:ascii="宋体" w:hAnsi="宋体"/>
                <w:color w:val="000000"/>
                <w:sz w:val="24"/>
              </w:rPr>
              <w:t>等级要求</w:t>
            </w:r>
          </w:p>
        </w:tc>
        <w:tc>
          <w:tcPr>
            <w:tcW w:w="1418" w:type="dxa"/>
          </w:tcPr>
          <w:p>
            <w:pPr>
              <w:spacing w:line="380" w:lineRule="exact"/>
              <w:rPr>
                <w:rFonts w:hint="eastAsia" w:ascii="宋体" w:hAnsi="宋体"/>
                <w:color w:val="000000"/>
                <w:sz w:val="24"/>
              </w:rPr>
            </w:pPr>
            <w:r>
              <w:rPr>
                <w:rFonts w:hint="eastAsia" w:ascii="宋体" w:hAnsi="宋体"/>
                <w:color w:val="000000"/>
                <w:sz w:val="24"/>
              </w:rPr>
              <w:t>考核学期</w:t>
            </w:r>
          </w:p>
        </w:tc>
        <w:tc>
          <w:tcPr>
            <w:tcW w:w="2289" w:type="dxa"/>
          </w:tcPr>
          <w:p>
            <w:pPr>
              <w:spacing w:line="380" w:lineRule="exact"/>
              <w:rPr>
                <w:rFonts w:hint="eastAsia" w:ascii="宋体" w:hAnsi="宋体"/>
                <w:color w:val="000000"/>
                <w:sz w:val="24"/>
              </w:rPr>
            </w:pPr>
            <w:r>
              <w:rPr>
                <w:rFonts w:hint="eastAsia" w:ascii="宋体" w:hAnsi="宋体"/>
                <w:color w:val="000000"/>
                <w:sz w:val="24"/>
              </w:rPr>
              <w:t>考核要求必考/选考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80" w:lineRule="exact"/>
              <w:rPr>
                <w:rFonts w:hint="eastAsia" w:ascii="宋体" w:hAnsi="宋体"/>
                <w:color w:val="000000"/>
                <w:sz w:val="24"/>
              </w:rPr>
            </w:pPr>
            <w:r>
              <w:rPr>
                <w:rFonts w:hint="eastAsia" w:ascii="宋体" w:hAnsi="宋体"/>
                <w:color w:val="000000"/>
                <w:sz w:val="24"/>
              </w:rPr>
              <w:t>1</w:t>
            </w:r>
          </w:p>
        </w:tc>
        <w:tc>
          <w:tcPr>
            <w:tcW w:w="1276" w:type="dxa"/>
          </w:tcPr>
          <w:p>
            <w:pPr>
              <w:spacing w:line="380" w:lineRule="exact"/>
              <w:rPr>
                <w:rFonts w:hint="eastAsia" w:ascii="宋体" w:hAnsi="宋体"/>
                <w:color w:val="000000"/>
                <w:sz w:val="24"/>
              </w:rPr>
            </w:pPr>
            <w:r>
              <w:rPr>
                <w:rFonts w:hint="eastAsia" w:ascii="宋体" w:hAnsi="宋体"/>
                <w:color w:val="000000"/>
                <w:sz w:val="24"/>
              </w:rPr>
              <w:t>证券从业资格证</w:t>
            </w:r>
          </w:p>
        </w:tc>
        <w:tc>
          <w:tcPr>
            <w:tcW w:w="1843" w:type="dxa"/>
          </w:tcPr>
          <w:p>
            <w:pPr>
              <w:spacing w:line="380" w:lineRule="exact"/>
              <w:rPr>
                <w:rFonts w:hint="eastAsia" w:ascii="宋体" w:hAnsi="宋体"/>
                <w:color w:val="000000"/>
                <w:sz w:val="24"/>
              </w:rPr>
            </w:pPr>
            <w:r>
              <w:rPr>
                <w:rFonts w:hint="eastAsia" w:ascii="宋体" w:hAnsi="宋体"/>
                <w:color w:val="000000"/>
                <w:sz w:val="24"/>
              </w:rPr>
              <w:t>中国证券业协会</w:t>
            </w:r>
          </w:p>
        </w:tc>
        <w:tc>
          <w:tcPr>
            <w:tcW w:w="1417" w:type="dxa"/>
          </w:tcPr>
          <w:p>
            <w:pPr>
              <w:spacing w:line="380" w:lineRule="exact"/>
              <w:rPr>
                <w:rFonts w:hint="eastAsia" w:ascii="宋体" w:hAnsi="宋体"/>
                <w:color w:val="000000"/>
                <w:sz w:val="24"/>
              </w:rPr>
            </w:pPr>
            <w:r>
              <w:rPr>
                <w:rFonts w:hint="eastAsia" w:ascii="宋体" w:hAnsi="宋体"/>
                <w:color w:val="000000"/>
                <w:sz w:val="24"/>
              </w:rPr>
              <w:t>从业证</w:t>
            </w:r>
          </w:p>
        </w:tc>
        <w:tc>
          <w:tcPr>
            <w:tcW w:w="1418" w:type="dxa"/>
          </w:tcPr>
          <w:p>
            <w:pPr>
              <w:spacing w:line="380" w:lineRule="exact"/>
              <w:rPr>
                <w:rFonts w:hint="eastAsia" w:ascii="宋体" w:hAnsi="宋体"/>
                <w:color w:val="000000"/>
                <w:sz w:val="24"/>
              </w:rPr>
            </w:pPr>
            <w:r>
              <w:rPr>
                <w:rFonts w:hint="eastAsia" w:ascii="宋体" w:hAnsi="宋体"/>
                <w:color w:val="000000"/>
                <w:sz w:val="24"/>
              </w:rPr>
              <w:t>2-</w:t>
            </w:r>
            <w:r>
              <w:rPr>
                <w:rFonts w:ascii="宋体" w:hAnsi="宋体"/>
                <w:color w:val="000000"/>
                <w:sz w:val="24"/>
              </w:rPr>
              <w:t>6</w:t>
            </w:r>
            <w:r>
              <w:rPr>
                <w:rFonts w:hint="eastAsia" w:ascii="宋体" w:hAnsi="宋体"/>
                <w:color w:val="000000"/>
                <w:sz w:val="24"/>
              </w:rPr>
              <w:t>学期</w:t>
            </w:r>
          </w:p>
        </w:tc>
        <w:tc>
          <w:tcPr>
            <w:tcW w:w="2289" w:type="dxa"/>
          </w:tcPr>
          <w:p>
            <w:pPr>
              <w:spacing w:line="380" w:lineRule="exact"/>
              <w:rPr>
                <w:rFonts w:hint="eastAsia" w:ascii="宋体" w:hAnsi="宋体"/>
                <w:color w:val="000000"/>
                <w:sz w:val="24"/>
              </w:rPr>
            </w:pPr>
            <w:r>
              <w:rPr>
                <w:rFonts w:hint="eastAsia" w:ascii="宋体" w:hAnsi="宋体"/>
                <w:color w:val="000000"/>
                <w:sz w:val="24"/>
              </w:rPr>
              <w:t>必考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80" w:lineRule="exact"/>
              <w:rPr>
                <w:rFonts w:hint="eastAsia" w:ascii="宋体" w:hAnsi="宋体"/>
                <w:color w:val="000000"/>
                <w:sz w:val="24"/>
              </w:rPr>
            </w:pPr>
            <w:r>
              <w:rPr>
                <w:rFonts w:hint="eastAsia" w:ascii="宋体" w:hAnsi="宋体"/>
                <w:color w:val="000000"/>
                <w:sz w:val="24"/>
              </w:rPr>
              <w:t>2</w:t>
            </w:r>
          </w:p>
        </w:tc>
        <w:tc>
          <w:tcPr>
            <w:tcW w:w="1276" w:type="dxa"/>
          </w:tcPr>
          <w:p>
            <w:pPr>
              <w:spacing w:line="380" w:lineRule="exact"/>
              <w:rPr>
                <w:rFonts w:hint="eastAsia" w:ascii="宋体" w:hAnsi="宋体"/>
                <w:color w:val="000000"/>
                <w:sz w:val="24"/>
              </w:rPr>
            </w:pPr>
            <w:r>
              <w:rPr>
                <w:rFonts w:hint="eastAsia" w:ascii="宋体" w:hAnsi="宋体"/>
                <w:color w:val="000000"/>
                <w:sz w:val="24"/>
              </w:rPr>
              <w:t>英语等级考试</w:t>
            </w:r>
          </w:p>
        </w:tc>
        <w:tc>
          <w:tcPr>
            <w:tcW w:w="1843" w:type="dxa"/>
          </w:tcPr>
          <w:p>
            <w:pPr>
              <w:spacing w:line="380" w:lineRule="exact"/>
              <w:rPr>
                <w:rFonts w:hint="eastAsia" w:ascii="宋体" w:hAnsi="宋体"/>
                <w:color w:val="000000"/>
                <w:sz w:val="24"/>
              </w:rPr>
            </w:pPr>
            <w:r>
              <w:rPr>
                <w:rFonts w:hint="eastAsia" w:ascii="宋体" w:hAnsi="宋体"/>
                <w:color w:val="000000"/>
                <w:sz w:val="24"/>
              </w:rPr>
              <w:t>高等学校英语应用能力考核委员会</w:t>
            </w:r>
          </w:p>
        </w:tc>
        <w:tc>
          <w:tcPr>
            <w:tcW w:w="1417" w:type="dxa"/>
          </w:tcPr>
          <w:p>
            <w:pPr>
              <w:spacing w:line="380" w:lineRule="exact"/>
              <w:rPr>
                <w:rFonts w:hint="eastAsia" w:ascii="宋体" w:hAnsi="宋体"/>
                <w:color w:val="000000"/>
                <w:sz w:val="24"/>
              </w:rPr>
            </w:pPr>
            <w:r>
              <w:rPr>
                <w:rFonts w:hint="eastAsia" w:ascii="宋体" w:hAnsi="宋体"/>
                <w:color w:val="000000"/>
                <w:sz w:val="24"/>
              </w:rPr>
              <w:t>B级及以上</w:t>
            </w:r>
          </w:p>
        </w:tc>
        <w:tc>
          <w:tcPr>
            <w:tcW w:w="1418" w:type="dxa"/>
          </w:tcPr>
          <w:p>
            <w:pPr>
              <w:spacing w:line="380" w:lineRule="exact"/>
              <w:rPr>
                <w:rFonts w:hint="eastAsia" w:ascii="宋体" w:hAnsi="宋体"/>
                <w:color w:val="000000"/>
                <w:sz w:val="24"/>
              </w:rPr>
            </w:pPr>
            <w:r>
              <w:rPr>
                <w:rFonts w:hint="eastAsia" w:ascii="宋体" w:hAnsi="宋体"/>
                <w:color w:val="000000"/>
                <w:sz w:val="24"/>
              </w:rPr>
              <w:t>1-</w:t>
            </w:r>
            <w:r>
              <w:rPr>
                <w:rFonts w:ascii="宋体" w:hAnsi="宋体"/>
                <w:color w:val="000000"/>
                <w:sz w:val="24"/>
              </w:rPr>
              <w:t>6</w:t>
            </w:r>
            <w:r>
              <w:rPr>
                <w:rFonts w:hint="eastAsia" w:ascii="宋体" w:hAnsi="宋体"/>
                <w:color w:val="000000"/>
                <w:sz w:val="24"/>
              </w:rPr>
              <w:t>学期</w:t>
            </w:r>
          </w:p>
        </w:tc>
        <w:tc>
          <w:tcPr>
            <w:tcW w:w="2289" w:type="dxa"/>
          </w:tcPr>
          <w:p>
            <w:pPr>
              <w:spacing w:line="380" w:lineRule="exact"/>
              <w:rPr>
                <w:rFonts w:hint="eastAsia" w:ascii="宋体" w:hAnsi="宋体"/>
                <w:color w:val="000000"/>
                <w:sz w:val="24"/>
              </w:rPr>
            </w:pPr>
            <w:r>
              <w:rPr>
                <w:rFonts w:hint="eastAsia" w:ascii="宋体" w:hAnsi="宋体"/>
                <w:color w:val="000000"/>
                <w:sz w:val="24"/>
              </w:rPr>
              <w:t>必考</w:t>
            </w:r>
          </w:p>
        </w:tc>
      </w:tr>
    </w:tbl>
    <w:p>
      <w:pPr>
        <w:spacing w:line="380" w:lineRule="exact"/>
        <w:rPr>
          <w:rFonts w:hint="eastAsia"/>
        </w:rPr>
      </w:pPr>
      <w:r>
        <w:rPr>
          <w:rFonts w:ascii="宋体" w:hAnsi="宋体"/>
          <w:color w:val="000000"/>
          <w:sz w:val="24"/>
        </w:rPr>
        <w:t>4</w:t>
      </w:r>
      <w:r>
        <w:rPr>
          <w:rFonts w:hint="eastAsia" w:ascii="宋体" w:hAnsi="宋体"/>
          <w:color w:val="000000"/>
          <w:sz w:val="24"/>
        </w:rPr>
        <w:t>．完成毕业设计（毕业论文），并通过毕业答辩。</w:t>
      </w:r>
    </w:p>
    <w:p>
      <w:pPr>
        <w:pStyle w:val="44"/>
        <w:ind w:firstLine="480"/>
      </w:pPr>
      <w:bookmarkStart w:id="134" w:name="_Toc75253733"/>
      <w:bookmarkStart w:id="135" w:name="_Toc78431547"/>
      <w:bookmarkStart w:id="136" w:name="_Toc29963"/>
      <w:r>
        <w:rPr>
          <w:rFonts w:hint="eastAsia"/>
        </w:rPr>
        <w:t>（六）教学实施建议</w:t>
      </w:r>
      <w:bookmarkEnd w:id="134"/>
      <w:bookmarkEnd w:id="135"/>
      <w:bookmarkEnd w:id="136"/>
    </w:p>
    <w:p>
      <w:pPr>
        <w:spacing w:line="400" w:lineRule="exact"/>
        <w:ind w:firstLine="480" w:firstLineChars="200"/>
        <w:rPr>
          <w:color w:val="000000"/>
          <w:sz w:val="24"/>
        </w:rPr>
      </w:pPr>
      <w:bookmarkStart w:id="137" w:name="_Toc516151810"/>
      <w:bookmarkStart w:id="138" w:name="_Toc515880470"/>
      <w:r>
        <w:rPr>
          <w:rFonts w:hint="eastAsia"/>
          <w:color w:val="000000"/>
          <w:sz w:val="24"/>
        </w:rPr>
        <w:t>金融科技应用专业是一门实践性和操作性非常强的专业，教学模式应打破以往的“填鸭式”教学方法，利用多媒体、教学软件和企业平台创新学习环境，采用问题式、案例式、讨论式、角色扮演等教学方法，进行启发式教学，培养学生的自主学习、创造性和实际操作等多元化能力。通过导向课让学生了解专业背景和发展方向，从大学一年级开始专业基础课的教学，提倡开设开发创造力的理论课程和实践课程，允许学生跨选课程，使学生的知识结构多样化。同时课程设置以应用为导向，注重学生综合能力的培养，不仅能很好地拓宽金融科技应用专业人才的综合素质，又提高了学生理论与实践结合的创新能力，是创新型互联网金融人才培养的重要环节。</w:t>
      </w:r>
    </w:p>
    <w:p>
      <w:pPr>
        <w:ind w:firstLine="480" w:firstLineChars="200"/>
        <w:rPr>
          <w:rFonts w:hint="eastAsia" w:asciiTheme="minorEastAsia" w:hAnsiTheme="minorEastAsia" w:eastAsiaTheme="minorEastAsia"/>
          <w:sz w:val="24"/>
        </w:rPr>
      </w:pPr>
      <w:bookmarkStart w:id="139" w:name="_Toc73202607"/>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对常规教学手段的改革思路</w:t>
      </w:r>
      <w:bookmarkEnd w:id="137"/>
      <w:bookmarkEnd w:id="138"/>
      <w:bookmarkEnd w:id="139"/>
    </w:p>
    <w:p>
      <w:pPr>
        <w:spacing w:line="400" w:lineRule="exact"/>
        <w:ind w:firstLine="480" w:firstLineChars="200"/>
        <w:rPr>
          <w:rFonts w:hint="eastAsia"/>
          <w:color w:val="000000"/>
          <w:sz w:val="24"/>
        </w:rPr>
      </w:pPr>
      <w:bookmarkStart w:id="140" w:name="_Toc516151811"/>
      <w:bookmarkStart w:id="141" w:name="_Toc515880471"/>
      <w:r>
        <w:rPr>
          <w:rFonts w:hint="eastAsia"/>
          <w:color w:val="000000"/>
          <w:sz w:val="24"/>
        </w:rPr>
        <w:t>改变高职院校现有的教学模式，尤其是将教学内容由学科化体系拓展为宽知识领域，让学生掌握更多的岗位技能，保证其能够适应多个相关岗位需要，成为企业发展中不可缺少的综合型技能人才。在培养学生获取更多岗位技能的同时，也兼顾对学生创新思维与创新精神的培养，并融入专业知识与技能教学中。</w:t>
      </w:r>
    </w:p>
    <w:p>
      <w:pPr>
        <w:spacing w:line="400" w:lineRule="exact"/>
        <w:ind w:firstLine="480" w:firstLineChars="200"/>
        <w:rPr>
          <w:color w:val="000000"/>
          <w:sz w:val="24"/>
        </w:rPr>
      </w:pPr>
      <w:r>
        <w:rPr>
          <w:rFonts w:hint="eastAsia"/>
          <w:color w:val="000000"/>
          <w:sz w:val="24"/>
        </w:rPr>
        <w:t>专业课的教学应多采用以企业切实存在的问题为实训模块，学生分为几个小组通过课堂讨论和课外搜集资料等方式设计解决方案，从而提高学生的学习兴趣和锻炼学生解决实际问题的能力。</w:t>
      </w:r>
    </w:p>
    <w:p>
      <w:pPr>
        <w:ind w:firstLine="480" w:firstLineChars="200"/>
        <w:rPr>
          <w:rFonts w:hint="eastAsia" w:asciiTheme="minorEastAsia" w:hAnsiTheme="minorEastAsia" w:eastAsiaTheme="minorEastAsia"/>
          <w:sz w:val="24"/>
        </w:rPr>
      </w:pPr>
      <w:bookmarkStart w:id="142" w:name="_Toc73202608"/>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对常规教学方法的改革思路</w:t>
      </w:r>
      <w:bookmarkEnd w:id="140"/>
      <w:bookmarkEnd w:id="141"/>
      <w:bookmarkEnd w:id="142"/>
    </w:p>
    <w:p>
      <w:pPr>
        <w:spacing w:line="400" w:lineRule="exact"/>
        <w:ind w:firstLine="480" w:firstLineChars="200"/>
        <w:rPr>
          <w:rFonts w:hint="eastAsia" w:ascii="宋体" w:hAnsi="宋体"/>
          <w:color w:val="000000"/>
          <w:sz w:val="24"/>
        </w:rPr>
      </w:pPr>
      <w:r>
        <w:rPr>
          <w:rFonts w:ascii="宋体" w:hAnsi="宋体"/>
          <w:color w:val="000000"/>
          <w:sz w:val="24"/>
        </w:rPr>
        <w:t>教学方法</w:t>
      </w:r>
      <w:r>
        <w:rPr>
          <w:rFonts w:hint="eastAsia" w:ascii="宋体" w:hAnsi="宋体"/>
          <w:color w:val="000000"/>
          <w:sz w:val="24"/>
        </w:rPr>
        <w:t>的内涵</w:t>
      </w:r>
      <w:r>
        <w:rPr>
          <w:rFonts w:ascii="宋体" w:hAnsi="宋体"/>
          <w:color w:val="000000"/>
          <w:sz w:val="24"/>
        </w:rPr>
        <w:t>，是教学过程中教师与学生为实现教学目的和教学任务要求，在教学活动中所采取的行为方式的总称。</w:t>
      </w:r>
    </w:p>
    <w:p>
      <w:pPr>
        <w:spacing w:line="400" w:lineRule="exact"/>
        <w:ind w:firstLine="482" w:firstLineChars="200"/>
        <w:rPr>
          <w:rFonts w:hint="eastAsia" w:ascii="宋体" w:hAnsi="宋体"/>
          <w:b/>
          <w:color w:val="000000"/>
          <w:sz w:val="24"/>
        </w:rPr>
      </w:pPr>
      <w:r>
        <w:rPr>
          <w:rFonts w:hint="eastAsia" w:ascii="宋体" w:hAnsi="宋体"/>
          <w:b/>
          <w:color w:val="000000"/>
          <w:sz w:val="24"/>
        </w:rPr>
        <w:t>（1）理论课程教学方法改革思路</w:t>
      </w:r>
    </w:p>
    <w:p>
      <w:pPr>
        <w:spacing w:line="400" w:lineRule="exact"/>
        <w:ind w:firstLine="480" w:firstLineChars="200"/>
        <w:rPr>
          <w:rFonts w:hint="eastAsia" w:ascii="宋体" w:hAnsi="宋体"/>
          <w:color w:val="000000"/>
          <w:sz w:val="24"/>
        </w:rPr>
      </w:pPr>
      <w:r>
        <w:rPr>
          <w:rFonts w:hint="eastAsia" w:ascii="宋体" w:hAnsi="宋体"/>
          <w:color w:val="000000"/>
          <w:sz w:val="24"/>
        </w:rPr>
        <w:t>理论课程可采用启发式教学，鼓励学生互动讨论、尝试创新，成为主动学习的人。可开设模拟产品设计、业态体验区、互联网金融运营与管理等，搭建“企业经理人 + 学校教师”的校企双师的有效融合育人机制，使学生的专业知识更加接地气；另外，通过带领学生走入企业参观，让学生们实地进行项目的操作练习，开阔了学生的视野，让他们近距离地感受企业的具体工作操作，同时学习互联网金融企业运营的决策思路，也进一步提高了学生的动手实操能力。</w:t>
      </w:r>
      <w:r>
        <w:rPr>
          <w:rFonts w:hint="eastAsia" w:hAnsi="宋体"/>
          <w:color w:val="000000"/>
          <w:sz w:val="24"/>
        </w:rPr>
        <w:t>教学模拟软件的运用，可以使学生熟悉企业流程，模拟操作企业实际工作，培养学生的实际操作能力。</w:t>
      </w:r>
    </w:p>
    <w:p>
      <w:pPr>
        <w:spacing w:line="400" w:lineRule="exact"/>
        <w:ind w:firstLine="482" w:firstLineChars="200"/>
        <w:rPr>
          <w:rFonts w:hint="eastAsia" w:ascii="宋体" w:hAnsi="宋体"/>
          <w:b/>
          <w:color w:val="000000"/>
          <w:sz w:val="24"/>
        </w:rPr>
      </w:pPr>
      <w:r>
        <w:rPr>
          <w:rFonts w:hint="eastAsia" w:ascii="宋体" w:hAnsi="宋体"/>
          <w:b/>
          <w:color w:val="000000"/>
          <w:sz w:val="24"/>
        </w:rPr>
        <w:t>（2）实训课程教学方法改革思路</w:t>
      </w:r>
    </w:p>
    <w:p>
      <w:pPr>
        <w:spacing w:line="400" w:lineRule="exact"/>
        <w:ind w:firstLine="480" w:firstLineChars="200"/>
        <w:rPr>
          <w:rFonts w:hint="eastAsia" w:ascii="宋体" w:hAnsi="宋体"/>
          <w:color w:val="000000"/>
          <w:sz w:val="24"/>
        </w:rPr>
      </w:pPr>
      <w:bookmarkStart w:id="143" w:name="_Toc515880472"/>
      <w:bookmarkStart w:id="144" w:name="_Toc516151812"/>
      <w:r>
        <w:rPr>
          <w:rFonts w:hint="eastAsia" w:ascii="宋体" w:hAnsi="宋体"/>
          <w:color w:val="000000"/>
          <w:sz w:val="24"/>
        </w:rPr>
        <w:t>一切教学内容围绕学生未来的工作岗位、工作过程和岗位所需核心能力来设计，</w:t>
      </w:r>
      <w:r>
        <w:rPr>
          <w:rFonts w:ascii="宋体" w:hAnsi="宋体"/>
          <w:color w:val="000000"/>
          <w:sz w:val="24"/>
        </w:rPr>
        <w:t>引入企业真实案例作为课程教学载体</w:t>
      </w:r>
      <w:r>
        <w:rPr>
          <w:rFonts w:hint="eastAsia" w:ascii="宋体" w:hAnsi="宋体"/>
          <w:color w:val="000000"/>
          <w:sz w:val="24"/>
        </w:rPr>
        <w:t>，</w:t>
      </w:r>
      <w:r>
        <w:rPr>
          <w:rFonts w:ascii="宋体" w:hAnsi="宋体"/>
          <w:color w:val="000000"/>
          <w:sz w:val="24"/>
        </w:rPr>
        <w:t>通过模拟企业工作环境，让学生感受企业目前在经营发展中遇到的问题，引导学生思考解决问题，培养学生的职业思维，进而建构学生</w:t>
      </w:r>
      <w:r>
        <w:rPr>
          <w:rFonts w:hint="eastAsia" w:ascii="宋体" w:hAnsi="宋体"/>
          <w:color w:val="000000"/>
          <w:sz w:val="24"/>
        </w:rPr>
        <w:t>的</w:t>
      </w:r>
      <w:r>
        <w:rPr>
          <w:rFonts w:ascii="宋体" w:hAnsi="宋体"/>
          <w:color w:val="000000"/>
          <w:sz w:val="24"/>
        </w:rPr>
        <w:t>职业观</w:t>
      </w:r>
      <w:r>
        <w:rPr>
          <w:rFonts w:hint="eastAsia" w:ascii="宋体" w:hAnsi="宋体"/>
          <w:color w:val="000000"/>
          <w:sz w:val="24"/>
        </w:rPr>
        <w:t>；充分发挥多媒体和校内外实训实习基地的作用，借助校内外实训实习基地，提供学生进行专项实训、综合实训及顶岗实习，真正达到学生“在工作过程中学习、在学习过程中工作”的实践性教学目的。</w:t>
      </w:r>
    </w:p>
    <w:p>
      <w:pPr>
        <w:spacing w:line="400" w:lineRule="exact"/>
        <w:ind w:firstLine="480" w:firstLineChars="200"/>
        <w:rPr>
          <w:rFonts w:hint="eastAsia"/>
          <w:color w:val="000000"/>
          <w:sz w:val="24"/>
        </w:rPr>
      </w:pPr>
      <w:r>
        <w:rPr>
          <w:rFonts w:hint="eastAsia" w:ascii="宋体" w:hAnsi="宋体"/>
          <w:color w:val="000000"/>
          <w:sz w:val="24"/>
        </w:rPr>
        <w:t>通过开展各种学术活动使学生了解互联网科技和大数据、云计算</w:t>
      </w:r>
      <w:r>
        <w:rPr>
          <w:rFonts w:hint="eastAsia"/>
          <w:color w:val="000000"/>
          <w:sz w:val="24"/>
        </w:rPr>
        <w:t>的进展以及普惠制金融的新理念、新方法和新模式；通过参加各种大学生专业竞赛和其他科技创新活动使学生具有分析企业实际问题和创造性解决问题的能力。</w:t>
      </w:r>
    </w:p>
    <w:p>
      <w:pPr>
        <w:ind w:firstLine="480" w:firstLineChars="200"/>
        <w:rPr>
          <w:rFonts w:hint="eastAsia" w:asciiTheme="minorEastAsia" w:hAnsiTheme="minorEastAsia" w:eastAsiaTheme="minorEastAsia"/>
          <w:sz w:val="24"/>
        </w:rPr>
      </w:pPr>
      <w:bookmarkStart w:id="145" w:name="_Toc73202609"/>
      <w:r>
        <w:rPr>
          <w:rFonts w:hint="eastAsia" w:asciiTheme="minorEastAsia" w:hAnsiTheme="minorEastAsia" w:eastAsiaTheme="minorEastAsia"/>
          <w:sz w:val="24"/>
        </w:rPr>
        <w:t>3</w:t>
      </w:r>
      <w:r>
        <w:rPr>
          <w:rFonts w:asciiTheme="minorEastAsia" w:hAnsiTheme="minorEastAsia" w:eastAsiaTheme="minorEastAsia"/>
          <w:sz w:val="24"/>
        </w:rPr>
        <w:t>.推进现代化教学手段和方法改革</w:t>
      </w:r>
      <w:bookmarkEnd w:id="143"/>
      <w:bookmarkEnd w:id="144"/>
      <w:bookmarkEnd w:id="145"/>
    </w:p>
    <w:p>
      <w:pPr>
        <w:spacing w:line="400" w:lineRule="exact"/>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开发虚拟流程、虚拟工艺、虚拟生产线等，提升实践教学和技能训练的效率和效果。</w:t>
      </w:r>
      <w:r>
        <w:rPr>
          <w:rFonts w:hint="eastAsia" w:ascii="宋体" w:hAnsi="宋体"/>
          <w:color w:val="000000"/>
          <w:sz w:val="24"/>
        </w:rPr>
        <w:t>实现“理实一体化”教学模块，内容包括课程学习和技能训练部分，课程学习内容涉及基础知识、专业基础知识和专业知识学习，技能训练部分包括基本技能训练、专业认知训练和专业技能训练。训练项目内容涉及计算机应用、互联网金融认知、沙盘模拟实训、市场调研、创新创业、互联网金融产品设计和互联网金融运营风险、互联网金融产品综合实训等，使学生形成对相关工作岗位及其流程的感性认识，为到企业进行专项技能轮岗实习奠定坚实的基础。</w:t>
      </w:r>
    </w:p>
    <w:p>
      <w:pPr>
        <w:spacing w:line="400" w:lineRule="exact"/>
        <w:ind w:firstLine="480" w:firstLineChars="200"/>
        <w:rPr>
          <w:rFonts w:hint="eastAsia" w:hAnsi="宋体"/>
          <w:color w:val="000000"/>
          <w:sz w:val="24"/>
        </w:rPr>
      </w:pPr>
      <w:r>
        <w:rPr>
          <w:rFonts w:hint="eastAsia" w:hAnsi="宋体"/>
          <w:color w:val="000000"/>
          <w:sz w:val="24"/>
        </w:rPr>
        <w:t>（2）</w:t>
      </w:r>
      <w:r>
        <w:rPr>
          <w:rFonts w:hAnsi="宋体"/>
          <w:color w:val="000000"/>
          <w:sz w:val="24"/>
        </w:rPr>
        <w:t>搭建校企互动信息化教学平台，探索将企业的生产过程、工作流程等信息实时传送到学校课堂和企业兼职教师在生产现场远程开展专业教学的改革。</w:t>
      </w:r>
      <w:r>
        <w:rPr>
          <w:rFonts w:hint="eastAsia" w:hAnsi="宋体"/>
          <w:color w:val="000000"/>
          <w:sz w:val="24"/>
        </w:rPr>
        <w:t>通过“教师下企业、专家上讲台”“校外平台学课程、校内平台搞生产”等校企融合的实践探索，有效地解决生产性实训场所、顶岗就业、“行动导向教学”的教学需求、专业教师的企业实践等问题，实现复合型、发展型、创新型、高技术技能人才的培养。</w:t>
      </w:r>
    </w:p>
    <w:p>
      <w:pPr>
        <w:rPr>
          <w:rFonts w:hint="eastAsia" w:ascii="黑体" w:eastAsia="黑体"/>
          <w:b/>
          <w:color w:val="000000"/>
          <w:sz w:val="28"/>
          <w:szCs w:val="28"/>
        </w:rPr>
      </w:pPr>
      <w:r>
        <w:rPr>
          <w:rFonts w:hint="eastAsia" w:hAnsi="宋体"/>
          <w:color w:val="000000"/>
          <w:sz w:val="24"/>
        </w:rPr>
        <w:br w:type="page"/>
      </w:r>
    </w:p>
    <w:p>
      <w:pPr>
        <w:pStyle w:val="2"/>
        <w:jc w:val="center"/>
        <w:rPr>
          <w:rFonts w:ascii="黑体" w:eastAsia="黑体"/>
          <w:b w:val="0"/>
          <w:color w:val="000000"/>
          <w:sz w:val="32"/>
          <w:szCs w:val="28"/>
        </w:rPr>
      </w:pPr>
      <w:bookmarkStart w:id="146" w:name="_Toc75253734"/>
      <w:bookmarkStart w:id="147" w:name="_Toc9647"/>
      <w:bookmarkStart w:id="148" w:name="_Toc78431548"/>
      <w:r>
        <w:rPr>
          <w:rFonts w:hint="eastAsia" w:ascii="黑体" w:eastAsia="黑体"/>
          <w:b w:val="0"/>
          <w:color w:val="000000"/>
          <w:sz w:val="32"/>
          <w:szCs w:val="28"/>
        </w:rPr>
        <w:t>第</w:t>
      </w:r>
      <w:r>
        <w:rPr>
          <w:rFonts w:hint="eastAsia" w:ascii="黑体" w:eastAsia="黑体"/>
          <w:b w:val="0"/>
          <w:color w:val="000000"/>
          <w:sz w:val="28"/>
          <w:szCs w:val="28"/>
        </w:rPr>
        <w:t>三</w:t>
      </w:r>
      <w:r>
        <w:rPr>
          <w:rFonts w:hint="eastAsia" w:ascii="黑体" w:eastAsia="黑体"/>
          <w:b w:val="0"/>
          <w:color w:val="000000"/>
          <w:sz w:val="32"/>
          <w:szCs w:val="28"/>
        </w:rPr>
        <w:t>部分 附件及附表</w:t>
      </w:r>
      <w:bookmarkEnd w:id="146"/>
      <w:bookmarkEnd w:id="147"/>
      <w:bookmarkEnd w:id="148"/>
    </w:p>
    <w:p>
      <w:pPr>
        <w:spacing w:line="360" w:lineRule="auto"/>
        <w:rPr>
          <w:rFonts w:ascii="黑体" w:hAnsi="宋体"/>
          <w:b/>
          <w:szCs w:val="21"/>
        </w:rPr>
      </w:pPr>
      <w:bookmarkStart w:id="149" w:name="_Toc1928_WPSOffice_Level1"/>
      <w:r>
        <w:rPr>
          <w:rFonts w:hint="eastAsia" w:ascii="宋体" w:hAnsi="宋体"/>
          <w:szCs w:val="21"/>
        </w:rPr>
        <w:t>附表1 ：教学活动计划表</w:t>
      </w:r>
      <w:bookmarkEnd w:id="149"/>
      <w:r>
        <w:rPr>
          <w:rFonts w:hint="eastAsia" w:ascii="宋体" w:hAnsi="宋体"/>
          <w:szCs w:val="21"/>
        </w:rPr>
        <w:t>（各专业结合专业特点，调整此表）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899"/>
        <w:gridCol w:w="1938"/>
        <w:gridCol w:w="732"/>
        <w:gridCol w:w="1971"/>
        <w:gridCol w:w="711"/>
        <w:gridCol w:w="1485"/>
        <w:gridCol w:w="6"/>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FF0000"/>
                <w:szCs w:val="21"/>
              </w:rPr>
            </w:pPr>
            <w:r>
              <w:rPr>
                <w:rFonts w:hint="eastAsia" w:ascii="宋体" w:hAnsi="宋体" w:cs="宋体"/>
                <w:b/>
                <w:color w:val="FF0000"/>
                <w:szCs w:val="21"/>
              </w:rPr>
              <w:t>学期</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FF0000"/>
                <w:szCs w:val="21"/>
              </w:rPr>
            </w:pPr>
            <w:r>
              <w:rPr>
                <w:rFonts w:hint="eastAsia" w:ascii="宋体" w:hAnsi="宋体" w:cs="宋体"/>
                <w:b/>
                <w:color w:val="FF0000"/>
                <w:szCs w:val="21"/>
              </w:rPr>
              <w:t>教学周</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第一学年</w:t>
            </w:r>
          </w:p>
        </w:tc>
        <w:tc>
          <w:tcPr>
            <w:tcW w:w="26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第二学年</w:t>
            </w:r>
          </w:p>
        </w:tc>
        <w:tc>
          <w:tcPr>
            <w:tcW w:w="21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FF0000"/>
                <w:szCs w:val="21"/>
              </w:rPr>
            </w:pP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FF0000"/>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内  容</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时间</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内  容</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时间</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内  容</w:t>
            </w:r>
          </w:p>
        </w:tc>
        <w:tc>
          <w:tcPr>
            <w:tcW w:w="6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第一学期</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入学教育、军训</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2周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基本教学</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4周</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p>
            <w:pPr>
              <w:jc w:val="center"/>
              <w:rPr>
                <w:rFonts w:ascii="宋体" w:hAnsi="宋体" w:cs="宋体"/>
                <w:color w:val="FF0000"/>
                <w:szCs w:val="21"/>
              </w:rPr>
            </w:pPr>
          </w:p>
          <w:p>
            <w:pPr>
              <w:jc w:val="center"/>
              <w:rPr>
                <w:rFonts w:ascii="宋体" w:hAnsi="宋体" w:cs="宋体"/>
                <w:color w:val="FF0000"/>
                <w:szCs w:val="21"/>
              </w:rPr>
            </w:pPr>
          </w:p>
          <w:p>
            <w:pPr>
              <w:jc w:val="center"/>
              <w:rPr>
                <w:rFonts w:ascii="宋体" w:hAnsi="宋体" w:cs="宋体"/>
                <w:color w:val="FF0000"/>
                <w:szCs w:val="21"/>
              </w:rPr>
            </w:pPr>
          </w:p>
          <w:p>
            <w:pPr>
              <w:jc w:val="center"/>
              <w:rPr>
                <w:rFonts w:ascii="宋体" w:hAnsi="宋体" w:cs="宋体"/>
                <w:color w:val="FF0000"/>
                <w:szCs w:val="21"/>
              </w:rPr>
            </w:pPr>
          </w:p>
          <w:p>
            <w:pPr>
              <w:jc w:val="center"/>
              <w:rPr>
                <w:rFonts w:ascii="宋体" w:hAnsi="宋体" w:cs="宋体"/>
                <w:color w:val="FF0000"/>
                <w:szCs w:val="21"/>
              </w:rPr>
            </w:pPr>
            <w:r>
              <w:rPr>
                <w:rFonts w:hint="eastAsia" w:ascii="宋体" w:hAnsi="宋体" w:cs="宋体"/>
                <w:color w:val="FF0000"/>
                <w:szCs w:val="21"/>
              </w:rPr>
              <w:t>毕业实践</w:t>
            </w:r>
          </w:p>
          <w:p>
            <w:pPr>
              <w:jc w:val="center"/>
              <w:rPr>
                <w:rFonts w:ascii="宋体" w:hAnsi="宋体" w:cs="宋体"/>
                <w:color w:val="FF0000"/>
                <w:szCs w:val="21"/>
              </w:rPr>
            </w:pPr>
            <w:r>
              <w:rPr>
                <w:rFonts w:hint="eastAsia" w:ascii="宋体" w:hAnsi="宋体" w:cs="宋体"/>
                <w:color w:val="FF0000"/>
                <w:szCs w:val="21"/>
              </w:rPr>
              <w:t>顶岗实习</w:t>
            </w:r>
          </w:p>
        </w:tc>
        <w:tc>
          <w:tcPr>
            <w:tcW w:w="6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p>
            <w:pPr>
              <w:jc w:val="center"/>
              <w:rPr>
                <w:rFonts w:ascii="宋体" w:hAnsi="宋体" w:cs="宋体"/>
                <w:color w:val="FF0000"/>
                <w:szCs w:val="21"/>
              </w:rPr>
            </w:pPr>
          </w:p>
          <w:p>
            <w:pPr>
              <w:jc w:val="center"/>
              <w:rPr>
                <w:rFonts w:ascii="宋体" w:hAnsi="宋体" w:cs="宋体"/>
                <w:color w:val="FF0000"/>
                <w:szCs w:val="21"/>
              </w:rPr>
            </w:pPr>
          </w:p>
          <w:p>
            <w:pPr>
              <w:jc w:val="center"/>
              <w:rPr>
                <w:rFonts w:ascii="宋体" w:hAnsi="宋体" w:cs="宋体"/>
                <w:color w:val="FF0000"/>
                <w:szCs w:val="21"/>
              </w:rPr>
            </w:pPr>
          </w:p>
          <w:p>
            <w:pPr>
              <w:jc w:val="center"/>
              <w:rPr>
                <w:rFonts w:ascii="宋体" w:hAnsi="宋体" w:cs="宋体"/>
                <w:color w:val="FF0000"/>
                <w:szCs w:val="21"/>
              </w:rPr>
            </w:pPr>
          </w:p>
          <w:p>
            <w:pPr>
              <w:jc w:val="center"/>
              <w:rPr>
                <w:rFonts w:ascii="宋体" w:hAnsi="宋体" w:cs="宋体"/>
                <w:color w:val="FF0000"/>
                <w:szCs w:val="21"/>
              </w:rPr>
            </w:pPr>
          </w:p>
          <w:p>
            <w:pPr>
              <w:jc w:val="center"/>
              <w:rPr>
                <w:rFonts w:ascii="宋体" w:hAnsi="宋体" w:cs="宋体"/>
                <w:color w:val="FF0000"/>
                <w:szCs w:val="21"/>
              </w:rPr>
            </w:pPr>
            <w:r>
              <w:rPr>
                <w:rFonts w:hint="eastAsia" w:ascii="宋体" w:hAnsi="宋体" w:cs="宋体"/>
                <w:color w:val="FF0000"/>
                <w:szCs w:val="21"/>
              </w:rPr>
              <w:t>20周</w:t>
            </w:r>
          </w:p>
          <w:p>
            <w:pPr>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 xml:space="preserve">   基本教学</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2周</w:t>
            </w: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5</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中秋节、运动会、</w:t>
            </w:r>
          </w:p>
          <w:p>
            <w:pPr>
              <w:rPr>
                <w:rFonts w:ascii="宋体" w:hAnsi="宋体" w:cs="宋体"/>
                <w:color w:val="FF0000"/>
                <w:szCs w:val="21"/>
              </w:rPr>
            </w:pPr>
            <w:r>
              <w:rPr>
                <w:rFonts w:hint="eastAsia" w:ascii="宋体" w:hAnsi="宋体" w:cs="宋体"/>
                <w:color w:val="FF0000"/>
                <w:szCs w:val="21"/>
              </w:rPr>
              <w:t>国庆节</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2周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中秋节、运动会、</w:t>
            </w:r>
          </w:p>
          <w:p>
            <w:pPr>
              <w:rPr>
                <w:rFonts w:ascii="宋体" w:hAnsi="宋体" w:cs="宋体"/>
                <w:color w:val="FF0000"/>
                <w:szCs w:val="21"/>
              </w:rPr>
            </w:pPr>
            <w:r>
              <w:rPr>
                <w:rFonts w:hint="eastAsia" w:ascii="宋体" w:hAnsi="宋体" w:cs="宋体"/>
                <w:color w:val="FF0000"/>
                <w:szCs w:val="21"/>
              </w:rPr>
              <w:t>国庆节、艺术教育</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2周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7</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基本教学</w:t>
            </w:r>
          </w:p>
          <w:p>
            <w:pPr>
              <w:jc w:val="center"/>
              <w:rPr>
                <w:rFonts w:ascii="宋体" w:hAnsi="宋体" w:cs="宋体"/>
                <w:color w:val="FF0000"/>
                <w:szCs w:val="21"/>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13周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基本教学</w:t>
            </w:r>
          </w:p>
          <w:p>
            <w:pPr>
              <w:jc w:val="center"/>
              <w:rPr>
                <w:rFonts w:ascii="宋体" w:hAnsi="宋体" w:cs="宋体"/>
                <w:color w:val="FF0000"/>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11周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13</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15</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17</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考试</w:t>
            </w:r>
          </w:p>
          <w:p>
            <w:pPr>
              <w:ind w:firstLine="420" w:firstLineChars="200"/>
              <w:rPr>
                <w:rFonts w:ascii="宋体" w:hAnsi="宋体" w:cs="宋体"/>
                <w:color w:val="FF0000"/>
                <w:szCs w:val="21"/>
              </w:rPr>
            </w:pPr>
            <w:r>
              <w:rPr>
                <w:rFonts w:hint="eastAsia" w:ascii="宋体" w:hAnsi="宋体" w:cs="宋体"/>
                <w:color w:val="FF0000"/>
                <w:szCs w:val="21"/>
              </w:rPr>
              <w:t>****8实训</w:t>
            </w:r>
          </w:p>
          <w:p>
            <w:pPr>
              <w:jc w:val="center"/>
              <w:rPr>
                <w:rFonts w:ascii="宋体" w:hAnsi="宋体" w:cs="宋体"/>
                <w:color w:val="FF0000"/>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3周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20</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艺术教育、考试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1周</w:t>
            </w: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21-26</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寒假</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6周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寒假</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6周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第二学期</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27</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基本教学</w:t>
            </w:r>
          </w:p>
          <w:p>
            <w:pPr>
              <w:jc w:val="center"/>
              <w:rPr>
                <w:rFonts w:ascii="宋体" w:hAnsi="宋体" w:cs="宋体"/>
                <w:color w:val="FF0000"/>
                <w:szCs w:val="21"/>
              </w:rPr>
            </w:pPr>
            <w:r>
              <w:rPr>
                <w:rFonts w:hint="eastAsia" w:ascii="宋体" w:hAnsi="宋体" w:cs="宋体"/>
                <w:color w:val="FF0000"/>
                <w:szCs w:val="21"/>
              </w:rPr>
              <w:t>劳动周</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15周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基本教学</w:t>
            </w:r>
          </w:p>
          <w:p>
            <w:pPr>
              <w:jc w:val="center"/>
              <w:rPr>
                <w:rFonts w:ascii="宋体" w:hAnsi="宋体" w:cs="宋体"/>
                <w:color w:val="FF0000"/>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15周</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毕业实践</w:t>
            </w:r>
          </w:p>
          <w:p>
            <w:pPr>
              <w:jc w:val="center"/>
              <w:rPr>
                <w:rFonts w:ascii="宋体" w:hAnsi="宋体" w:cs="宋体"/>
                <w:color w:val="FF0000"/>
                <w:szCs w:val="21"/>
              </w:rPr>
            </w:pPr>
            <w:r>
              <w:rPr>
                <w:rFonts w:hint="eastAsia" w:ascii="宋体" w:hAnsi="宋体" w:cs="宋体"/>
                <w:color w:val="FF0000"/>
                <w:szCs w:val="21"/>
              </w:rPr>
              <w:t>顶岗实习</w:t>
            </w:r>
          </w:p>
          <w:p>
            <w:pPr>
              <w:jc w:val="center"/>
              <w:rPr>
                <w:rFonts w:ascii="宋体" w:hAnsi="宋体" w:cs="宋体"/>
                <w:color w:val="FF0000"/>
                <w:szCs w:val="21"/>
              </w:rPr>
            </w:pPr>
            <w:r>
              <w:rPr>
                <w:rFonts w:hint="eastAsia" w:ascii="宋体" w:hAnsi="宋体" w:cs="宋体"/>
                <w:color w:val="FF0000"/>
                <w:szCs w:val="21"/>
              </w:rPr>
              <w:t>实习报告</w:t>
            </w:r>
          </w:p>
        </w:tc>
        <w:tc>
          <w:tcPr>
            <w:tcW w:w="6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15周</w:t>
            </w:r>
          </w:p>
          <w:p>
            <w:pP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28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29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33</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35</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37</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40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41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42</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艺术教育</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艺术教育</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43</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考试</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1周</w:t>
            </w:r>
          </w:p>
        </w:tc>
        <w:tc>
          <w:tcPr>
            <w:tcW w:w="149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6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44</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股票模拟实训</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基于Excel的金融综合实训</w:t>
            </w:r>
          </w:p>
          <w:p>
            <w:pPr>
              <w:jc w:val="center"/>
              <w:rPr>
                <w:rFonts w:ascii="宋体" w:hAnsi="宋体" w:cs="宋体"/>
                <w:color w:val="FF0000"/>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3周</w:t>
            </w: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45</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46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47-52</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暑  期</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6周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暑假</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6周</w:t>
            </w: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3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合  计</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52周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52周</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35周</w:t>
            </w:r>
          </w:p>
        </w:tc>
      </w:tr>
    </w:tbl>
    <w:p>
      <w:pPr>
        <w:spacing w:line="440" w:lineRule="atLeast"/>
        <w:ind w:firstLine="480" w:firstLineChars="200"/>
        <w:rPr>
          <w:rFonts w:ascii="宋体" w:hAnsi="宋体"/>
          <w:sz w:val="24"/>
        </w:rPr>
      </w:pPr>
      <w:bookmarkStart w:id="150" w:name="_Toc11042_WPSOffice_Level1"/>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rPr>
          <w:rFonts w:ascii="宋体" w:hAnsi="宋体"/>
          <w:sz w:val="24"/>
        </w:rPr>
      </w:pPr>
    </w:p>
    <w:p>
      <w:pPr>
        <w:spacing w:line="440" w:lineRule="atLeast"/>
        <w:ind w:firstLine="480" w:firstLineChars="200"/>
        <w:rPr>
          <w:rFonts w:ascii="宋体" w:hAnsi="宋体"/>
          <w:sz w:val="24"/>
        </w:rPr>
      </w:pPr>
    </w:p>
    <w:p>
      <w:pPr>
        <w:rPr>
          <w:rFonts w:hint="eastAsia" w:ascii="宋体" w:hAnsi="宋体"/>
          <w:sz w:val="24"/>
        </w:rPr>
      </w:pPr>
      <w:r>
        <w:rPr>
          <w:rFonts w:hint="eastAsia" w:ascii="宋体" w:hAnsi="宋体"/>
          <w:sz w:val="24"/>
        </w:rPr>
        <w:br w:type="page"/>
      </w:r>
    </w:p>
    <w:p>
      <w:pPr>
        <w:spacing w:line="440" w:lineRule="atLeast"/>
        <w:ind w:firstLine="480" w:firstLineChars="200"/>
        <w:rPr>
          <w:rFonts w:hint="eastAsia" w:ascii="宋体" w:hAnsi="宋体"/>
          <w:sz w:val="24"/>
        </w:rPr>
      </w:pPr>
      <w:r>
        <w:rPr>
          <w:rFonts w:hint="eastAsia" w:ascii="宋体" w:hAnsi="宋体"/>
          <w:sz w:val="24"/>
        </w:rPr>
        <w:t>附表2：各类课程学时学分分配表</w:t>
      </w: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bookmarkEnd w:id="150"/>
    <w:p>
      <w:pPr>
        <w:rPr>
          <w:rFonts w:hint="eastAsia" w:ascii="宋体" w:hAnsi="宋体"/>
          <w:sz w:val="24"/>
        </w:rPr>
      </w:pPr>
      <w:bookmarkStart w:id="151" w:name="_Toc6459_WPSOffice_Level1"/>
      <w:r>
        <w:rPr>
          <w:rFonts w:hint="eastAsia" w:ascii="宋体" w:hAnsi="宋体"/>
          <w:sz w:val="24"/>
        </w:rPr>
        <w:br w:type="page"/>
      </w:r>
    </w:p>
    <w:p>
      <w:pPr>
        <w:spacing w:line="440" w:lineRule="atLeast"/>
        <w:ind w:firstLine="480" w:firstLineChars="200"/>
        <w:rPr>
          <w:rFonts w:ascii="宋体" w:hAnsi="宋体"/>
          <w:sz w:val="24"/>
        </w:rPr>
      </w:pPr>
      <w:r>
        <w:rPr>
          <w:rFonts w:hint="eastAsia" w:ascii="宋体" w:hAnsi="宋体"/>
          <w:sz w:val="24"/>
        </w:rPr>
        <w:t>附表3：实践教学计划表</w:t>
      </w:r>
      <w:bookmarkEnd w:id="151"/>
    </w:p>
    <w:tbl>
      <w:tblPr>
        <w:tblStyle w:val="26"/>
        <w:tblpPr w:leftFromText="180" w:rightFromText="180" w:vertAnchor="page" w:horzAnchor="margin" w:tblpY="27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090"/>
        <w:gridCol w:w="2092"/>
        <w:gridCol w:w="1228"/>
        <w:gridCol w:w="968"/>
        <w:gridCol w:w="967"/>
        <w:gridCol w:w="967"/>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924"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类    别</w:t>
            </w:r>
          </w:p>
        </w:tc>
        <w:tc>
          <w:tcPr>
            <w:tcW w:w="31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    时</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92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总计</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实践</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实践</w:t>
            </w:r>
          </w:p>
          <w:p>
            <w:pPr>
              <w:jc w:val="center"/>
              <w:rPr>
                <w:rFonts w:ascii="宋体" w:hAnsi="宋体" w:cs="宋体"/>
                <w:szCs w:val="21"/>
              </w:rPr>
            </w:pPr>
            <w:r>
              <w:rPr>
                <w:rFonts w:hint="eastAsia" w:ascii="宋体" w:hAnsi="宋体" w:cs="宋体"/>
                <w:szCs w:val="21"/>
              </w:rPr>
              <w:t>比例</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学分</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cs="宋体"/>
                <w:spacing w:val="60"/>
                <w:szCs w:val="21"/>
              </w:rPr>
            </w:pPr>
            <w:r>
              <w:rPr>
                <w:rFonts w:hint="eastAsia" w:ascii="宋体" w:hAnsi="宋体" w:cs="宋体"/>
                <w:spacing w:val="60"/>
                <w:szCs w:val="21"/>
              </w:rPr>
              <w:t>课堂教学</w:t>
            </w: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基本素质</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必修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r>
              <w:rPr>
                <w:rFonts w:ascii="宋体" w:hAnsi="宋体" w:cs="宋体"/>
                <w:szCs w:val="21"/>
              </w:rPr>
              <w:t>08</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41</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r>
              <w:rPr>
                <w:rFonts w:ascii="宋体" w:hAnsi="宋体" w:cs="宋体"/>
                <w:szCs w:val="21"/>
              </w:rPr>
              <w:t>2</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r>
              <w:rPr>
                <w:rFonts w:ascii="宋体" w:hAnsi="宋体" w:cs="宋体"/>
                <w:szCs w:val="21"/>
              </w:rPr>
              <w:t>0.5</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职业素质</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必修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60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4</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职业技能</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必修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r>
              <w:rPr>
                <w:rFonts w:ascii="宋体" w:hAnsi="宋体" w:cs="宋体"/>
                <w:szCs w:val="21"/>
              </w:rPr>
              <w:t>40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40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6</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6</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2</w:t>
            </w:r>
            <w:r>
              <w:rPr>
                <w:rFonts w:ascii="宋体" w:hAnsi="宋体" w:cs="宋体"/>
                <w:szCs w:val="21"/>
              </w:rPr>
              <w:t>4</w:t>
            </w:r>
            <w:r>
              <w:rPr>
                <w:rFonts w:hint="eastAsia" w:ascii="宋体" w:hAnsi="宋体" w:cs="宋体"/>
                <w:szCs w:val="21"/>
              </w:rPr>
              <w:t>．</w:t>
            </w:r>
            <w:r>
              <w:rPr>
                <w:rFonts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职业拓展</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选修</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r>
              <w:rPr>
                <w:rFonts w:ascii="宋体" w:hAnsi="宋体" w:cs="宋体"/>
                <w:szCs w:val="21"/>
              </w:rPr>
              <w:t>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4</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3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学时、学分小计</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768</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r>
              <w:rPr>
                <w:rFonts w:ascii="宋体" w:hAnsi="宋体" w:cs="宋体"/>
                <w:szCs w:val="21"/>
              </w:rPr>
              <w:t>81</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7</w:t>
            </w:r>
          </w:p>
        </w:tc>
        <w:tc>
          <w:tcPr>
            <w:tcW w:w="9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14.5</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w:t>
            </w:r>
            <w:r>
              <w:rPr>
                <w:rFonts w:ascii="宋体" w:hAnsi="宋体" w:cs="宋体"/>
                <w:szCs w:val="21"/>
              </w:rPr>
              <w:t>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42"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cs="宋体"/>
                <w:spacing w:val="60"/>
                <w:szCs w:val="21"/>
              </w:rPr>
            </w:pPr>
            <w:r>
              <w:rPr>
                <w:rFonts w:hint="eastAsia" w:ascii="宋体" w:hAnsi="宋体" w:cs="宋体"/>
                <w:spacing w:val="60"/>
                <w:szCs w:val="21"/>
              </w:rPr>
              <w:t>集中实践</w:t>
            </w: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公共实践</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入学教育、</w:t>
            </w:r>
          </w:p>
          <w:p>
            <w:pPr>
              <w:jc w:val="center"/>
              <w:rPr>
                <w:rFonts w:ascii="宋体" w:hAnsi="宋体" w:cs="宋体"/>
                <w:szCs w:val="21"/>
              </w:rPr>
            </w:pPr>
            <w:r>
              <w:rPr>
                <w:rFonts w:hint="eastAsia" w:ascii="宋体" w:hAnsi="宋体" w:cs="宋体"/>
                <w:szCs w:val="21"/>
              </w:rPr>
              <w:t>军训与国防教育、</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r>
              <w:rPr>
                <w:rFonts w:ascii="宋体" w:hAnsi="宋体" w:cs="宋体"/>
                <w:szCs w:val="21"/>
              </w:rPr>
              <w:t>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r>
              <w:rPr>
                <w:rFonts w:ascii="宋体" w:hAnsi="宋体" w:cs="宋体"/>
                <w:szCs w:val="21"/>
              </w:rPr>
              <w:t>5</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w:t>
            </w:r>
            <w:r>
              <w:rPr>
                <w:rFonts w:ascii="宋体" w:hAnsi="宋体" w:cs="宋体"/>
                <w:szCs w:val="21"/>
              </w:rPr>
              <w:t>5</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课程阶段与综合实训</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互联网金融营销</w:t>
            </w:r>
          </w:p>
          <w:p>
            <w:pPr>
              <w:jc w:val="center"/>
              <w:rPr>
                <w:rFonts w:ascii="宋体" w:hAnsi="宋体" w:cs="宋体"/>
                <w:szCs w:val="21"/>
              </w:rPr>
            </w:pPr>
            <w:r>
              <w:rPr>
                <w:rFonts w:hint="eastAsia" w:ascii="宋体" w:hAnsi="宋体" w:cs="宋体"/>
                <w:szCs w:val="21"/>
              </w:rPr>
              <w:t>实训</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r>
              <w:rPr>
                <w:rFonts w:ascii="宋体" w:hAnsi="宋体" w:cs="宋体"/>
                <w:szCs w:val="21"/>
              </w:rPr>
              <w:t>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r>
              <w:rPr>
                <w:rFonts w:ascii="宋体" w:hAnsi="宋体" w:cs="宋体"/>
                <w:szCs w:val="21"/>
              </w:rPr>
              <w:t>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股票模拟实训</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90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r>
              <w:rPr>
                <w:rFonts w:ascii="宋体" w:hAnsi="宋体" w:cs="宋体"/>
                <w:szCs w:val="21"/>
              </w:rPr>
              <w:t>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基于Excel的金融综合实训</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r>
              <w:rPr>
                <w:rFonts w:ascii="宋体" w:hAnsi="宋体" w:cs="宋体"/>
                <w:szCs w:val="21"/>
              </w:rPr>
              <w:t>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r>
              <w:rPr>
                <w:rFonts w:ascii="宋体" w:hAnsi="宋体" w:cs="宋体"/>
                <w:szCs w:val="21"/>
              </w:rPr>
              <w:t>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艺术教育</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艺术教育</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20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20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毕业实践</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顶岗实习</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r>
              <w:rPr>
                <w:rFonts w:ascii="宋体" w:hAnsi="宋体" w:cs="宋体"/>
                <w:szCs w:val="21"/>
              </w:rPr>
              <w:t>90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r>
              <w:rPr>
                <w:rFonts w:ascii="宋体" w:hAnsi="宋体" w:cs="宋体"/>
                <w:szCs w:val="21"/>
              </w:rPr>
              <w:t>65</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r>
              <w:rPr>
                <w:rFonts w:ascii="宋体" w:hAnsi="宋体" w:cs="宋体"/>
                <w:szCs w:val="21"/>
              </w:rPr>
              <w:t>5.76</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3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学时、学分小计</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040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r>
              <w:rPr>
                <w:rFonts w:ascii="宋体" w:hAnsi="宋体" w:cs="宋体"/>
                <w:szCs w:val="21"/>
              </w:rPr>
              <w:t>80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r>
              <w:rPr>
                <w:rFonts w:ascii="宋体" w:hAnsi="宋体" w:cs="宋体"/>
                <w:szCs w:val="21"/>
              </w:rPr>
              <w:t>4.62</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1</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39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学时、学分合计</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688</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361</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r>
              <w:rPr>
                <w:rFonts w:ascii="宋体" w:hAnsi="宋体" w:cs="宋体"/>
                <w:szCs w:val="21"/>
              </w:rPr>
              <w:t>0.6</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45.5</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00</w:t>
            </w:r>
          </w:p>
        </w:tc>
      </w:tr>
    </w:tbl>
    <w:p>
      <w:pPr>
        <w:spacing w:line="440" w:lineRule="atLeast"/>
        <w:ind w:firstLine="480" w:firstLineChars="200"/>
        <w:rPr>
          <w:rFonts w:ascii="宋体" w:hAnsi="宋体"/>
          <w:sz w:val="24"/>
        </w:rPr>
      </w:pPr>
    </w:p>
    <w:p>
      <w:pPr>
        <w:rPr>
          <w:rFonts w:ascii="宋体" w:hAnsi="宋体"/>
          <w:sz w:val="24"/>
        </w:rPr>
      </w:pPr>
      <w:r>
        <w:rPr>
          <w:rFonts w:ascii="宋体" w:hAnsi="宋体"/>
          <w:sz w:val="24"/>
        </w:rPr>
        <w:br w:type="page"/>
      </w:r>
    </w:p>
    <w:p>
      <w:pPr>
        <w:spacing w:line="440" w:lineRule="atLeast"/>
        <w:ind w:firstLine="480" w:firstLineChars="200"/>
        <w:rPr>
          <w:rFonts w:ascii="宋体" w:hAnsi="宋体"/>
          <w:sz w:val="24"/>
        </w:rPr>
      </w:pPr>
    </w:p>
    <w:p>
      <w:pPr>
        <w:jc w:val="center"/>
        <w:rPr>
          <w:rFonts w:ascii="黑体" w:hAnsi="宋体" w:eastAsia="黑体"/>
          <w:b/>
          <w:sz w:val="36"/>
          <w:szCs w:val="36"/>
        </w:rPr>
      </w:pPr>
      <w:bookmarkStart w:id="152" w:name="_Toc20943_WPSOffice_Level2"/>
      <w:r>
        <w:rPr>
          <w:rFonts w:hint="eastAsia" w:ascii="黑体" w:hAnsi="宋体" w:eastAsia="黑体"/>
          <w:b/>
          <w:sz w:val="36"/>
          <w:szCs w:val="36"/>
        </w:rPr>
        <w:t>金融科技应用专业实践教学计划表</w:t>
      </w:r>
      <w:bookmarkEnd w:id="152"/>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314"/>
        <w:gridCol w:w="1896"/>
        <w:gridCol w:w="435"/>
        <w:gridCol w:w="435"/>
        <w:gridCol w:w="435"/>
        <w:gridCol w:w="436"/>
        <w:gridCol w:w="514"/>
        <w:gridCol w:w="446"/>
        <w:gridCol w:w="438"/>
        <w:gridCol w:w="561"/>
        <w:gridCol w:w="60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实 践</w:t>
            </w:r>
          </w:p>
          <w:p>
            <w:pPr>
              <w:jc w:val="center"/>
              <w:rPr>
                <w:rFonts w:ascii="宋体" w:hAnsi="宋体" w:cs="宋体"/>
                <w:szCs w:val="21"/>
              </w:rPr>
            </w:pPr>
            <w:r>
              <w:rPr>
                <w:rFonts w:hint="eastAsia" w:ascii="宋体" w:hAnsi="宋体" w:cs="宋体"/>
                <w:b/>
                <w:szCs w:val="21"/>
              </w:rPr>
              <w:t>类 别</w:t>
            </w:r>
          </w:p>
        </w:tc>
        <w:tc>
          <w:tcPr>
            <w:tcW w:w="131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b/>
                <w:szCs w:val="21"/>
              </w:rPr>
              <w:t>课程代码</w:t>
            </w:r>
          </w:p>
        </w:tc>
        <w:tc>
          <w:tcPr>
            <w:tcW w:w="18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szCs w:val="21"/>
              </w:rPr>
              <w:t>课程名称</w:t>
            </w:r>
          </w:p>
        </w:tc>
        <w:tc>
          <w:tcPr>
            <w:tcW w:w="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周数</w:t>
            </w:r>
          </w:p>
        </w:tc>
        <w:tc>
          <w:tcPr>
            <w:tcW w:w="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学分</w:t>
            </w: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第一学年</w:t>
            </w:r>
          </w:p>
        </w:tc>
        <w:tc>
          <w:tcPr>
            <w:tcW w:w="8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pacing w:val="-20"/>
                <w:szCs w:val="21"/>
              </w:rPr>
            </w:pPr>
            <w:r>
              <w:rPr>
                <w:rFonts w:hint="eastAsia" w:ascii="宋体" w:hAnsi="宋体" w:cs="宋体"/>
                <w:b/>
                <w:spacing w:val="-20"/>
                <w:szCs w:val="21"/>
              </w:rPr>
              <w:t>第 二 学年</w:t>
            </w:r>
          </w:p>
        </w:tc>
        <w:tc>
          <w:tcPr>
            <w:tcW w:w="11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pacing w:val="-20"/>
                <w:szCs w:val="21"/>
              </w:rPr>
            </w:pPr>
            <w:r>
              <w:rPr>
                <w:rFonts w:hint="eastAsia" w:ascii="宋体" w:hAnsi="宋体" w:cs="宋体"/>
                <w:b/>
                <w:spacing w:val="-20"/>
                <w:szCs w:val="21"/>
              </w:rPr>
              <w:t>第 三学年</w:t>
            </w:r>
          </w:p>
        </w:tc>
        <w:tc>
          <w:tcPr>
            <w:tcW w:w="4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第一学期</w:t>
            </w: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第二学期</w:t>
            </w: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暑期</w:t>
            </w: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第三学期</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第四学期</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第五学期</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w:t>
            </w:r>
          </w:p>
          <w:p>
            <w:pPr>
              <w:jc w:val="center"/>
              <w:rPr>
                <w:rFonts w:ascii="宋体" w:hAnsi="宋体" w:cs="宋体"/>
                <w:b/>
                <w:szCs w:val="21"/>
              </w:rPr>
            </w:pPr>
            <w:r>
              <w:rPr>
                <w:rFonts w:hint="eastAsia" w:ascii="宋体" w:hAnsi="宋体" w:cs="宋体"/>
                <w:b/>
                <w:szCs w:val="21"/>
              </w:rPr>
              <w:t>六</w:t>
            </w:r>
          </w:p>
          <w:p>
            <w:pPr>
              <w:jc w:val="center"/>
              <w:rPr>
                <w:rFonts w:ascii="宋体" w:hAnsi="宋体" w:cs="宋体"/>
                <w:b/>
                <w:szCs w:val="21"/>
              </w:rPr>
            </w:pPr>
            <w:r>
              <w:rPr>
                <w:rFonts w:hint="eastAsia" w:ascii="宋体" w:hAnsi="宋体" w:cs="宋体"/>
                <w:b/>
                <w:szCs w:val="21"/>
              </w:rPr>
              <w:t>学</w:t>
            </w:r>
          </w:p>
          <w:p>
            <w:pPr>
              <w:jc w:val="center"/>
              <w:rPr>
                <w:rFonts w:ascii="宋体" w:hAnsi="宋体" w:cs="宋体"/>
                <w:b/>
                <w:szCs w:val="21"/>
              </w:rPr>
            </w:pPr>
            <w:r>
              <w:rPr>
                <w:rFonts w:hint="eastAsia" w:ascii="宋体" w:hAnsi="宋体" w:cs="宋体"/>
                <w:b/>
                <w:szCs w:val="21"/>
              </w:rPr>
              <w:t>期</w:t>
            </w:r>
          </w:p>
        </w:tc>
        <w:tc>
          <w:tcPr>
            <w:tcW w:w="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公共实践</w:t>
            </w: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ascii="宋体" w:hAnsi="宋体"/>
                <w:szCs w:val="21"/>
              </w:rPr>
              <w:t>999110043</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入学教育军训</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b/>
                <w:bCs/>
                <w:szCs w:val="21"/>
              </w:rPr>
              <w:t>2W</w:t>
            </w: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szCs w:val="21"/>
              </w:rPr>
              <w:t>999110046</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艺术教育</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Cs w:val="21"/>
              </w:rPr>
            </w:pPr>
            <w:r>
              <w:rPr>
                <w:rFonts w:hint="eastAsia" w:ascii="宋体" w:hAnsi="宋体" w:cs="宋体"/>
                <w:szCs w:val="21"/>
              </w:rPr>
              <w:t>1</w:t>
            </w:r>
            <w:r>
              <w:rPr>
                <w:rFonts w:hint="eastAsia" w:ascii="宋体" w:hAnsi="宋体" w:cs="宋体"/>
                <w:b/>
                <w:szCs w:val="21"/>
              </w:rPr>
              <w:t>w</w:t>
            </w: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w:t>
            </w:r>
            <w:r>
              <w:rPr>
                <w:rFonts w:hint="eastAsia" w:ascii="宋体" w:hAnsi="宋体" w:cs="宋体"/>
                <w:b/>
                <w:szCs w:val="21"/>
              </w:rPr>
              <w:t>w</w:t>
            </w: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w:t>
            </w:r>
            <w:r>
              <w:rPr>
                <w:rFonts w:hint="eastAsia" w:ascii="宋体" w:hAnsi="宋体" w:cs="宋体"/>
                <w:b/>
                <w:szCs w:val="21"/>
              </w:rPr>
              <w:t>w</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hint="eastAsia" w:ascii="宋体" w:hAnsi="宋体" w:cs="宋体"/>
                <w:b/>
                <w:szCs w:val="21"/>
              </w:rPr>
              <w:t>w</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集中实践</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02533001</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互联网金融营销</w:t>
            </w:r>
          </w:p>
          <w:p>
            <w:pPr>
              <w:snapToGrid w:val="0"/>
              <w:jc w:val="center"/>
              <w:rPr>
                <w:rFonts w:ascii="宋体" w:hAnsi="宋体" w:cs="宋体"/>
                <w:szCs w:val="21"/>
              </w:rPr>
            </w:pPr>
            <w:r>
              <w:rPr>
                <w:rFonts w:hint="eastAsia" w:ascii="宋体" w:hAnsi="宋体" w:cs="宋体"/>
                <w:szCs w:val="21"/>
              </w:rPr>
              <w:t>实训</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w:t>
            </w: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02533002</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股票模拟实训</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Cs w:val="21"/>
              </w:rPr>
            </w:pPr>
            <w:r>
              <w:rPr>
                <w:rFonts w:hint="eastAsia" w:ascii="宋体" w:hAnsi="宋体" w:cs="宋体"/>
                <w:szCs w:val="21"/>
              </w:rPr>
              <w:t>3</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02533003</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基于</w:t>
            </w:r>
            <w:r>
              <w:rPr>
                <w:rFonts w:ascii="宋体" w:hAnsi="宋体" w:cs="宋体"/>
                <w:szCs w:val="21"/>
              </w:rPr>
              <w:t>E</w:t>
            </w:r>
            <w:r>
              <w:rPr>
                <w:rFonts w:hint="eastAsia" w:ascii="宋体" w:hAnsi="宋体" w:cs="宋体"/>
                <w:szCs w:val="21"/>
              </w:rPr>
              <w:t>xecel的金融综合实训</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毕业实践</w:t>
            </w: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w:t>
            </w:r>
            <w:r>
              <w:rPr>
                <w:rFonts w:ascii="宋体" w:hAnsi="宋体" w:cs="宋体"/>
                <w:szCs w:val="21"/>
              </w:rPr>
              <w:t>02511001</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ind w:firstLine="420" w:firstLineChars="200"/>
              <w:rPr>
                <w:rFonts w:ascii="宋体" w:hAnsi="宋体" w:cs="宋体"/>
                <w:szCs w:val="21"/>
              </w:rPr>
            </w:pPr>
            <w:r>
              <w:rPr>
                <w:rFonts w:hint="eastAsia" w:ascii="宋体" w:hAnsi="宋体" w:cs="宋体"/>
                <w:szCs w:val="21"/>
              </w:rPr>
              <w:t>毕业实践</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合    计</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5</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5</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W</w:t>
            </w: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r>
              <w:rPr>
                <w:rFonts w:ascii="宋体" w:hAnsi="宋体" w:cs="宋体"/>
                <w:szCs w:val="21"/>
              </w:rPr>
              <w:t>W</w:t>
            </w: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r>
              <w:rPr>
                <w:rFonts w:ascii="宋体" w:hAnsi="宋体" w:cs="宋体"/>
                <w:szCs w:val="21"/>
              </w:rPr>
              <w:t>W</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r>
              <w:rPr>
                <w:rFonts w:ascii="宋体" w:hAnsi="宋体" w:cs="宋体"/>
                <w:szCs w:val="21"/>
              </w:rPr>
              <w:t>W</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0W</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bl>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rPr>
          <w:rFonts w:hint="eastAsia" w:ascii="宋体" w:hAnsi="宋体"/>
          <w:sz w:val="24"/>
        </w:rPr>
      </w:pPr>
      <w:bookmarkStart w:id="153" w:name="_Toc30699_WPSOffice_Level1"/>
      <w:r>
        <w:rPr>
          <w:rFonts w:hint="eastAsia" w:ascii="宋体" w:hAnsi="宋体"/>
          <w:sz w:val="24"/>
        </w:rPr>
        <w:br w:type="page"/>
      </w:r>
    </w:p>
    <w:p>
      <w:pPr>
        <w:spacing w:line="440" w:lineRule="atLeast"/>
        <w:rPr>
          <w:rFonts w:ascii="宋体" w:hAnsi="宋体"/>
          <w:color w:val="FF0000"/>
          <w:sz w:val="24"/>
        </w:rPr>
      </w:pPr>
      <w:r>
        <w:rPr>
          <w:rFonts w:hint="eastAsia" w:ascii="宋体" w:hAnsi="宋体"/>
          <w:sz w:val="24"/>
        </w:rPr>
        <w:t>附表4：</w:t>
      </w:r>
      <w:r>
        <w:rPr>
          <w:rFonts w:hint="eastAsia" w:ascii="宋体" w:hAnsi="宋体"/>
          <w:b/>
          <w:sz w:val="24"/>
        </w:rPr>
        <w:t>教学计划与教学进程表</w:t>
      </w:r>
      <w:bookmarkEnd w:id="153"/>
      <w:r>
        <w:rPr>
          <w:rFonts w:hint="eastAsia" w:ascii="宋体" w:hAnsi="宋体"/>
          <w:color w:val="FF0000"/>
          <w:sz w:val="24"/>
        </w:rPr>
        <w:t xml:space="preserve">               </w:t>
      </w:r>
    </w:p>
    <w:p>
      <w:pPr>
        <w:spacing w:line="440" w:lineRule="atLeast"/>
        <w:jc w:val="center"/>
        <w:rPr>
          <w:rFonts w:hint="eastAsia" w:ascii="宋体" w:hAnsi="宋体"/>
          <w:sz w:val="24"/>
        </w:rPr>
      </w:pPr>
      <w:bookmarkStart w:id="154" w:name="_Toc21163_WPSOffice_Level2"/>
      <w:r>
        <w:rPr>
          <w:rFonts w:hint="eastAsia" w:ascii="黑体" w:hAnsi="宋体" w:eastAsia="黑体"/>
          <w:b/>
          <w:sz w:val="36"/>
          <w:szCs w:val="36"/>
        </w:rPr>
        <w:t>金融科技应用专业教学计划与教学进程表</w:t>
      </w:r>
    </w:p>
    <w:tbl>
      <w:tblPr>
        <w:tblStyle w:val="26"/>
        <w:tblW w:w="93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1"/>
        <w:gridCol w:w="411"/>
        <w:gridCol w:w="966"/>
        <w:gridCol w:w="202"/>
        <w:gridCol w:w="1100"/>
        <w:gridCol w:w="567"/>
        <w:gridCol w:w="567"/>
        <w:gridCol w:w="567"/>
        <w:gridCol w:w="567"/>
        <w:gridCol w:w="567"/>
        <w:gridCol w:w="567"/>
        <w:gridCol w:w="567"/>
        <w:gridCol w:w="567"/>
        <w:gridCol w:w="567"/>
        <w:gridCol w:w="567"/>
        <w:gridCol w:w="284"/>
        <w:gridCol w:w="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2" w:hRule="atLeast"/>
          <w:tblHeader/>
          <w:jc w:val="center"/>
        </w:trPr>
        <w:tc>
          <w:tcPr>
            <w:tcW w:w="391"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课程类别</w:t>
            </w:r>
          </w:p>
        </w:tc>
        <w:tc>
          <w:tcPr>
            <w:tcW w:w="411"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序号</w:t>
            </w:r>
          </w:p>
        </w:tc>
        <w:tc>
          <w:tcPr>
            <w:tcW w:w="966"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课程代码</w:t>
            </w:r>
          </w:p>
        </w:tc>
        <w:tc>
          <w:tcPr>
            <w:tcW w:w="1302" w:type="dxa"/>
            <w:gridSpan w:val="2"/>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课程名称</w:t>
            </w:r>
          </w:p>
        </w:tc>
        <w:tc>
          <w:tcPr>
            <w:tcW w:w="567"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学分</w:t>
            </w:r>
          </w:p>
        </w:tc>
        <w:tc>
          <w:tcPr>
            <w:tcW w:w="567" w:type="dxa"/>
            <w:tcBorders>
              <w:top w:val="single" w:color="auto" w:sz="4" w:space="0"/>
              <w:left w:val="single" w:color="auto" w:sz="4" w:space="0"/>
              <w:right w:val="single" w:color="auto" w:sz="4" w:space="0"/>
            </w:tcBorders>
          </w:tcPr>
          <w:p>
            <w:pPr>
              <w:snapToGrid w:val="0"/>
              <w:spacing w:line="240" w:lineRule="exact"/>
              <w:jc w:val="center"/>
              <w:rPr>
                <w:rFonts w:ascii="宋体" w:hAnsi="宋体"/>
                <w:b/>
                <w:color w:val="000000"/>
                <w:sz w:val="15"/>
                <w:szCs w:val="1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学时分配</w:t>
            </w:r>
          </w:p>
        </w:tc>
        <w:tc>
          <w:tcPr>
            <w:tcW w:w="340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各学期周学时分配</w:t>
            </w:r>
          </w:p>
        </w:tc>
        <w:tc>
          <w:tcPr>
            <w:tcW w:w="5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考核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9" w:hRule="atLeast"/>
          <w:tblHeader/>
          <w:jc w:val="center"/>
        </w:trPr>
        <w:tc>
          <w:tcPr>
            <w:tcW w:w="391" w:type="dxa"/>
            <w:vMerge w:val="continue"/>
            <w:tcBorders>
              <w:left w:val="single" w:color="auto" w:sz="4" w:space="0"/>
              <w:right w:val="single" w:color="auto" w:sz="4" w:space="0"/>
            </w:tcBorders>
          </w:tcPr>
          <w:p>
            <w:pPr>
              <w:snapToGrid w:val="0"/>
              <w:spacing w:line="240" w:lineRule="exact"/>
              <w:jc w:val="center"/>
              <w:rPr>
                <w:rFonts w:ascii="宋体" w:hAnsi="宋体"/>
                <w:b/>
                <w:color w:val="000000"/>
                <w:sz w:val="15"/>
                <w:szCs w:val="15"/>
              </w:rPr>
            </w:pPr>
          </w:p>
        </w:tc>
        <w:tc>
          <w:tcPr>
            <w:tcW w:w="411" w:type="dxa"/>
            <w:vMerge w:val="continue"/>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966" w:type="dxa"/>
            <w:vMerge w:val="continue"/>
            <w:tcBorders>
              <w:left w:val="single" w:color="auto" w:sz="4" w:space="0"/>
              <w:right w:val="single" w:color="auto" w:sz="4" w:space="0"/>
            </w:tcBorders>
          </w:tcPr>
          <w:p>
            <w:pPr>
              <w:snapToGrid w:val="0"/>
              <w:spacing w:line="240" w:lineRule="exact"/>
              <w:jc w:val="center"/>
              <w:rPr>
                <w:rFonts w:ascii="宋体" w:hAnsi="宋体"/>
                <w:b/>
                <w:color w:val="000000"/>
                <w:sz w:val="15"/>
                <w:szCs w:val="15"/>
              </w:rPr>
            </w:pPr>
          </w:p>
        </w:tc>
        <w:tc>
          <w:tcPr>
            <w:tcW w:w="1302" w:type="dxa"/>
            <w:gridSpan w:val="2"/>
            <w:vMerge w:val="continue"/>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567" w:type="dxa"/>
            <w:vMerge w:val="continue"/>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567" w:type="dxa"/>
            <w:tcBorders>
              <w:left w:val="single" w:color="auto" w:sz="4" w:space="0"/>
              <w:right w:val="single" w:color="auto" w:sz="4" w:space="0"/>
            </w:tcBorders>
          </w:tcPr>
          <w:p>
            <w:pPr>
              <w:snapToGrid w:val="0"/>
              <w:spacing w:line="240" w:lineRule="exact"/>
              <w:jc w:val="center"/>
              <w:rPr>
                <w:rFonts w:ascii="宋体" w:hAnsi="宋体"/>
                <w:b/>
                <w:color w:val="000000"/>
                <w:spacing w:val="-6"/>
                <w:sz w:val="15"/>
                <w:szCs w:val="15"/>
              </w:rPr>
            </w:pPr>
            <w:r>
              <w:rPr>
                <w:rFonts w:hint="eastAsia" w:ascii="宋体" w:hAnsi="宋体"/>
                <w:b/>
                <w:color w:val="000000"/>
                <w:spacing w:val="-6"/>
                <w:sz w:val="15"/>
                <w:szCs w:val="15"/>
              </w:rPr>
              <w:t>总学时</w:t>
            </w:r>
          </w:p>
        </w:tc>
        <w:tc>
          <w:tcPr>
            <w:tcW w:w="567"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b/>
                <w:color w:val="000000"/>
                <w:spacing w:val="-6"/>
                <w:sz w:val="15"/>
                <w:szCs w:val="15"/>
              </w:rPr>
            </w:pPr>
            <w:r>
              <w:rPr>
                <w:rFonts w:hint="eastAsia" w:ascii="宋体" w:hAnsi="宋体"/>
                <w:b/>
                <w:color w:val="000000"/>
                <w:spacing w:val="-6"/>
                <w:sz w:val="15"/>
                <w:szCs w:val="15"/>
              </w:rPr>
              <w:t>理论</w:t>
            </w:r>
          </w:p>
        </w:tc>
        <w:tc>
          <w:tcPr>
            <w:tcW w:w="567"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b/>
                <w:color w:val="000000"/>
                <w:spacing w:val="-6"/>
                <w:sz w:val="15"/>
                <w:szCs w:val="15"/>
              </w:rPr>
            </w:pPr>
            <w:r>
              <w:rPr>
                <w:rFonts w:hint="eastAsia" w:ascii="宋体" w:hAnsi="宋体"/>
                <w:b/>
                <w:color w:val="000000"/>
                <w:spacing w:val="-6"/>
                <w:sz w:val="15"/>
                <w:szCs w:val="15"/>
              </w:rPr>
              <w:t>实践</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第一学年</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第二学年</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第三学年</w:t>
            </w:r>
          </w:p>
        </w:tc>
        <w:tc>
          <w:tcPr>
            <w:tcW w:w="284" w:type="dxa"/>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考试</w:t>
            </w:r>
          </w:p>
        </w:tc>
        <w:tc>
          <w:tcPr>
            <w:tcW w:w="290" w:type="dxa"/>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tblHeader/>
          <w:jc w:val="center"/>
        </w:trPr>
        <w:tc>
          <w:tcPr>
            <w:tcW w:w="391" w:type="dxa"/>
            <w:vMerge w:val="continue"/>
            <w:tcBorders>
              <w:left w:val="single" w:color="auto" w:sz="4" w:space="0"/>
              <w:right w:val="single" w:color="auto" w:sz="4" w:space="0"/>
            </w:tcBorders>
          </w:tcPr>
          <w:p>
            <w:pPr>
              <w:snapToGrid w:val="0"/>
              <w:spacing w:line="240" w:lineRule="exact"/>
              <w:jc w:val="center"/>
              <w:rPr>
                <w:rFonts w:ascii="宋体" w:hAnsi="宋体"/>
                <w:b/>
                <w:color w:val="000000"/>
                <w:sz w:val="15"/>
                <w:szCs w:val="15"/>
              </w:rPr>
            </w:pPr>
          </w:p>
        </w:tc>
        <w:tc>
          <w:tcPr>
            <w:tcW w:w="411" w:type="dxa"/>
            <w:vMerge w:val="continue"/>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966" w:type="dxa"/>
            <w:vMerge w:val="continue"/>
            <w:tcBorders>
              <w:left w:val="single" w:color="auto" w:sz="4" w:space="0"/>
              <w:right w:val="single" w:color="auto" w:sz="4" w:space="0"/>
            </w:tcBorders>
          </w:tcPr>
          <w:p>
            <w:pPr>
              <w:snapToGrid w:val="0"/>
              <w:spacing w:line="240" w:lineRule="exact"/>
              <w:jc w:val="center"/>
              <w:rPr>
                <w:rFonts w:ascii="宋体" w:hAnsi="宋体"/>
                <w:b/>
                <w:color w:val="000000"/>
                <w:sz w:val="15"/>
                <w:szCs w:val="15"/>
              </w:rPr>
            </w:pPr>
          </w:p>
        </w:tc>
        <w:tc>
          <w:tcPr>
            <w:tcW w:w="1302" w:type="dxa"/>
            <w:gridSpan w:val="2"/>
            <w:vMerge w:val="continue"/>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567" w:type="dxa"/>
            <w:vMerge w:val="continue"/>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567" w:type="dxa"/>
            <w:tcBorders>
              <w:left w:val="single" w:color="auto" w:sz="4" w:space="0"/>
              <w:right w:val="single" w:color="auto" w:sz="4" w:space="0"/>
            </w:tcBorders>
          </w:tcPr>
          <w:p>
            <w:pPr>
              <w:snapToGrid w:val="0"/>
              <w:spacing w:line="240" w:lineRule="exact"/>
              <w:jc w:val="center"/>
              <w:rPr>
                <w:rFonts w:ascii="宋体" w:hAnsi="宋体"/>
                <w:b/>
                <w:color w:val="000000"/>
                <w:sz w:val="15"/>
                <w:szCs w:val="15"/>
              </w:rPr>
            </w:pPr>
          </w:p>
        </w:tc>
        <w:tc>
          <w:tcPr>
            <w:tcW w:w="567" w:type="dxa"/>
            <w:vMerge w:val="continue"/>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567" w:type="dxa"/>
            <w:vMerge w:val="continue"/>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4</w:t>
            </w: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5</w:t>
            </w: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6</w:t>
            </w:r>
          </w:p>
        </w:tc>
        <w:tc>
          <w:tcPr>
            <w:tcW w:w="284" w:type="dxa"/>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290" w:type="dxa"/>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3" w:hRule="atLeast"/>
          <w:tblHeader/>
          <w:jc w:val="center"/>
        </w:trPr>
        <w:tc>
          <w:tcPr>
            <w:tcW w:w="391" w:type="dxa"/>
            <w:vMerge w:val="continue"/>
            <w:tcBorders>
              <w:left w:val="single" w:color="auto" w:sz="4" w:space="0"/>
              <w:right w:val="single" w:color="auto" w:sz="4" w:space="0"/>
            </w:tcBorders>
          </w:tcPr>
          <w:p>
            <w:pPr>
              <w:snapToGrid w:val="0"/>
              <w:spacing w:line="240" w:lineRule="exact"/>
              <w:jc w:val="center"/>
              <w:rPr>
                <w:rFonts w:ascii="宋体" w:hAnsi="宋体"/>
                <w:b/>
                <w:color w:val="000000"/>
                <w:sz w:val="15"/>
                <w:szCs w:val="15"/>
              </w:rPr>
            </w:pPr>
          </w:p>
        </w:tc>
        <w:tc>
          <w:tcPr>
            <w:tcW w:w="411" w:type="dxa"/>
            <w:vMerge w:val="continue"/>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966" w:type="dxa"/>
            <w:vMerge w:val="continue"/>
            <w:tcBorders>
              <w:left w:val="single" w:color="auto" w:sz="4" w:space="0"/>
              <w:right w:val="single" w:color="auto" w:sz="4" w:space="0"/>
            </w:tcBorders>
          </w:tcPr>
          <w:p>
            <w:pPr>
              <w:snapToGrid w:val="0"/>
              <w:spacing w:line="240" w:lineRule="exact"/>
              <w:jc w:val="center"/>
              <w:rPr>
                <w:rFonts w:ascii="宋体" w:hAnsi="宋体"/>
                <w:b/>
                <w:color w:val="000000"/>
                <w:sz w:val="15"/>
                <w:szCs w:val="15"/>
              </w:rPr>
            </w:pPr>
          </w:p>
        </w:tc>
        <w:tc>
          <w:tcPr>
            <w:tcW w:w="1302" w:type="dxa"/>
            <w:gridSpan w:val="2"/>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567"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567" w:type="dxa"/>
            <w:tcBorders>
              <w:left w:val="single" w:color="auto" w:sz="4" w:space="0"/>
              <w:bottom w:val="single" w:color="auto" w:sz="4" w:space="0"/>
              <w:right w:val="single" w:color="auto" w:sz="4" w:space="0"/>
            </w:tcBorders>
          </w:tcPr>
          <w:p>
            <w:pPr>
              <w:snapToGrid w:val="0"/>
              <w:spacing w:line="240" w:lineRule="exact"/>
              <w:jc w:val="center"/>
              <w:rPr>
                <w:rFonts w:ascii="宋体" w:hAnsi="宋体"/>
                <w:b/>
                <w:color w:val="000000"/>
                <w:sz w:val="15"/>
                <w:szCs w:val="15"/>
              </w:rPr>
            </w:pPr>
          </w:p>
        </w:tc>
        <w:tc>
          <w:tcPr>
            <w:tcW w:w="567"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567" w:type="dxa"/>
            <w:vMerge w:val="continue"/>
            <w:tcBorders>
              <w:left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15w</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15w</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15w</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15w</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15w</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r>
              <w:rPr>
                <w:rFonts w:hint="eastAsia" w:ascii="宋体" w:hAnsi="宋体"/>
                <w:b/>
                <w:color w:val="000000"/>
                <w:sz w:val="15"/>
                <w:szCs w:val="15"/>
              </w:rPr>
              <w:t>15w</w:t>
            </w:r>
          </w:p>
        </w:tc>
        <w:tc>
          <w:tcPr>
            <w:tcW w:w="284" w:type="dxa"/>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c>
          <w:tcPr>
            <w:tcW w:w="290" w:type="dxa"/>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391"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color w:val="000000"/>
                <w:sz w:val="15"/>
                <w:szCs w:val="15"/>
              </w:rPr>
            </w:pPr>
          </w:p>
          <w:p>
            <w:pPr>
              <w:snapToGrid w:val="0"/>
              <w:spacing w:line="240" w:lineRule="exact"/>
              <w:jc w:val="center"/>
              <w:rPr>
                <w:rFonts w:ascii="宋体" w:hAnsi="宋体"/>
                <w:color w:val="000000"/>
                <w:sz w:val="15"/>
                <w:szCs w:val="15"/>
              </w:rPr>
            </w:pPr>
            <w:r>
              <w:rPr>
                <w:rFonts w:hint="eastAsia" w:ascii="宋体" w:hAnsi="宋体"/>
                <w:color w:val="000000"/>
                <w:sz w:val="15"/>
                <w:szCs w:val="15"/>
              </w:rPr>
              <w:t>基本素质</w:t>
            </w:r>
          </w:p>
        </w:tc>
        <w:tc>
          <w:tcPr>
            <w:tcW w:w="41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pacing w:val="-12"/>
                <w:sz w:val="15"/>
                <w:szCs w:val="15"/>
              </w:rPr>
            </w:pPr>
            <w:r>
              <w:rPr>
                <w:rFonts w:ascii="宋体" w:hAnsi="宋体"/>
                <w:color w:val="000000"/>
                <w:spacing w:val="-12"/>
                <w:sz w:val="15"/>
                <w:szCs w:val="15"/>
              </w:rPr>
              <w:t>1</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5"/>
                <w:szCs w:val="15"/>
              </w:rPr>
            </w:pPr>
            <w:r>
              <w:rPr>
                <w:rFonts w:ascii="宋体" w:hAnsi="宋体"/>
                <w:color w:val="000000"/>
                <w:sz w:val="15"/>
                <w:szCs w:val="15"/>
              </w:rPr>
              <w:t>100011001</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思想道德修养与法律基础</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sz w:val="15"/>
                <w:szCs w:val="15"/>
              </w:rPr>
            </w:pP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45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2+15H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 w:hRule="atLeast"/>
          <w:jc w:val="center"/>
        </w:trPr>
        <w:tc>
          <w:tcPr>
            <w:tcW w:w="391" w:type="dxa"/>
            <w:vMerge w:val="continue"/>
            <w:tcBorders>
              <w:left w:val="single" w:color="auto" w:sz="4" w:space="0"/>
              <w:right w:val="single" w:color="auto" w:sz="4" w:space="0"/>
            </w:tcBorders>
          </w:tcPr>
          <w:p>
            <w:pPr>
              <w:snapToGrid w:val="0"/>
              <w:spacing w:line="240" w:lineRule="exact"/>
              <w:jc w:val="center"/>
              <w:rPr>
                <w:rFonts w:ascii="宋体" w:hAnsi="宋体"/>
                <w:color w:val="000000"/>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pacing w:val="-12"/>
                <w:sz w:val="15"/>
                <w:szCs w:val="15"/>
              </w:rPr>
            </w:pPr>
            <w:r>
              <w:rPr>
                <w:rFonts w:hint="eastAsia" w:ascii="宋体" w:hAnsi="宋体"/>
                <w:color w:val="000000"/>
                <w:spacing w:val="-12"/>
                <w:sz w:val="15"/>
                <w:szCs w:val="15"/>
              </w:rPr>
              <w:t>2</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5"/>
                <w:szCs w:val="15"/>
              </w:rPr>
            </w:pPr>
            <w:r>
              <w:rPr>
                <w:rFonts w:ascii="宋体" w:hAnsi="宋体"/>
                <w:color w:val="000000"/>
                <w:sz w:val="15"/>
                <w:szCs w:val="15"/>
              </w:rPr>
              <w:t>100011002/14/15/16</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形势与政策一、二、三、四</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sz w:val="15"/>
                <w:szCs w:val="15"/>
              </w:rPr>
            </w:pPr>
            <w:r>
              <w:rPr>
                <w:rFonts w:hint="eastAsia" w:ascii="宋体" w:hAnsi="宋体"/>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4H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4H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4H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4H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jc w:val="center"/>
        </w:trPr>
        <w:tc>
          <w:tcPr>
            <w:tcW w:w="391" w:type="dxa"/>
            <w:vMerge w:val="continue"/>
            <w:tcBorders>
              <w:left w:val="single" w:color="auto" w:sz="4" w:space="0"/>
              <w:right w:val="single" w:color="auto" w:sz="4" w:space="0"/>
            </w:tcBorders>
          </w:tcPr>
          <w:p>
            <w:pPr>
              <w:snapToGrid w:val="0"/>
              <w:spacing w:line="240" w:lineRule="exact"/>
              <w:jc w:val="center"/>
              <w:rPr>
                <w:rFonts w:ascii="宋体" w:hAnsi="宋体"/>
                <w:color w:val="000000"/>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pacing w:val="-12"/>
                <w:sz w:val="15"/>
                <w:szCs w:val="15"/>
              </w:rPr>
            </w:pPr>
            <w:r>
              <w:rPr>
                <w:rFonts w:hint="eastAsia" w:ascii="宋体" w:hAnsi="宋体"/>
                <w:color w:val="000000"/>
                <w:spacing w:val="-12"/>
                <w:sz w:val="15"/>
                <w:szCs w:val="15"/>
              </w:rPr>
              <w:t>3</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5"/>
                <w:szCs w:val="15"/>
              </w:rPr>
            </w:pPr>
            <w:r>
              <w:rPr>
                <w:rFonts w:ascii="宋体" w:hAnsi="宋体"/>
                <w:color w:val="000000"/>
                <w:sz w:val="15"/>
                <w:szCs w:val="15"/>
              </w:rPr>
              <w:t>100011011</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毛泽东思想和中国特色社会主义理论体系概论</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45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3+15H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color w:val="000000"/>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olor w:val="000000"/>
                <w:spacing w:val="-12"/>
                <w:sz w:val="15"/>
                <w:szCs w:val="15"/>
              </w:rPr>
            </w:pPr>
            <w:r>
              <w:rPr>
                <w:rFonts w:hint="eastAsia" w:ascii="宋体" w:hAnsi="宋体"/>
                <w:color w:val="000000"/>
                <w:spacing w:val="-12"/>
                <w:sz w:val="15"/>
                <w:szCs w:val="15"/>
              </w:rPr>
              <w:t>4</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5"/>
                <w:szCs w:val="15"/>
              </w:rPr>
            </w:pPr>
            <w:r>
              <w:rPr>
                <w:rFonts w:ascii="宋体" w:hAnsi="宋体"/>
                <w:color w:val="000000"/>
                <w:sz w:val="15"/>
                <w:szCs w:val="15"/>
              </w:rPr>
              <w:t>100011010</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大学生心理健康教育</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sz w:val="15"/>
                <w:szCs w:val="15"/>
              </w:rPr>
            </w:pPr>
            <w:r>
              <w:rPr>
                <w:rFonts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color w:val="FF0000"/>
                <w:sz w:val="15"/>
                <w:szCs w:val="15"/>
              </w:rPr>
            </w:pPr>
            <w:r>
              <w:rPr>
                <w:rFonts w:ascii="宋体" w:hAnsi="宋体"/>
                <w:color w:val="FF0000"/>
                <w:sz w:val="15"/>
                <w:szCs w:val="15"/>
              </w:rPr>
              <w:t>3</w:t>
            </w:r>
            <w:r>
              <w:rPr>
                <w:rFonts w:hint="eastAsia" w:ascii="宋体" w:hAnsi="宋体"/>
                <w:color w:val="FF0000"/>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FF0000"/>
                <w:sz w:val="15"/>
                <w:szCs w:val="15"/>
              </w:rPr>
            </w:pPr>
            <w:r>
              <w:rPr>
                <w:rFonts w:hint="eastAsia" w:ascii="宋体" w:hAnsi="宋体"/>
                <w:color w:val="FF0000"/>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FF0000"/>
                <w:sz w:val="15"/>
                <w:szCs w:val="15"/>
              </w:rPr>
            </w:pPr>
            <w:r>
              <w:rPr>
                <w:rFonts w:hint="eastAsia" w:ascii="宋体" w:hAnsi="宋体"/>
                <w:color w:val="FF0000"/>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FF0000"/>
                <w:sz w:val="15"/>
                <w:szCs w:val="15"/>
              </w:rPr>
            </w:pPr>
            <w:r>
              <w:rPr>
                <w:rFonts w:hint="eastAsia" w:ascii="宋体" w:hAnsi="宋体"/>
                <w:color w:val="FF0000"/>
                <w:sz w:val="15"/>
                <w:szCs w:val="15"/>
              </w:rPr>
              <w:t>2</w:t>
            </w:r>
            <w:r>
              <w:rPr>
                <w:rFonts w:ascii="宋体" w:hAnsi="宋体"/>
                <w:color w:val="FF0000"/>
                <w:sz w:val="15"/>
                <w:szCs w:val="15"/>
              </w:rPr>
              <w:t>+6H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FF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ind w:firstLine="75" w:firstLineChars="50"/>
              <w:rPr>
                <w:rFonts w:ascii="宋体" w:hAnsi="宋体"/>
                <w:color w:val="000000"/>
                <w:sz w:val="15"/>
                <w:szCs w:val="15"/>
              </w:rPr>
            </w:pPr>
          </w:p>
        </w:tc>
        <w:tc>
          <w:tcPr>
            <w:tcW w:w="411" w:type="dxa"/>
            <w:tcBorders>
              <w:top w:val="single" w:color="auto" w:sz="4" w:space="0"/>
              <w:left w:val="single" w:color="auto" w:sz="4" w:space="0"/>
              <w:right w:val="single" w:color="auto" w:sz="4" w:space="0"/>
            </w:tcBorders>
            <w:vAlign w:val="center"/>
          </w:tcPr>
          <w:p>
            <w:pPr>
              <w:adjustRightInd w:val="0"/>
              <w:snapToGrid w:val="0"/>
              <w:spacing w:line="240" w:lineRule="exact"/>
              <w:ind w:firstLine="63" w:firstLineChars="50"/>
              <w:jc w:val="center"/>
              <w:rPr>
                <w:rFonts w:ascii="宋体" w:hAnsi="宋体"/>
                <w:color w:val="000000"/>
                <w:spacing w:val="-12"/>
                <w:sz w:val="15"/>
                <w:szCs w:val="15"/>
              </w:rPr>
            </w:pPr>
            <w:r>
              <w:rPr>
                <w:rFonts w:hint="eastAsia" w:ascii="宋体" w:hAnsi="宋体"/>
                <w:color w:val="000000"/>
                <w:spacing w:val="-12"/>
                <w:sz w:val="15"/>
                <w:szCs w:val="15"/>
              </w:rPr>
              <w:t>5</w:t>
            </w:r>
          </w:p>
        </w:tc>
        <w:tc>
          <w:tcPr>
            <w:tcW w:w="966" w:type="dxa"/>
            <w:tcBorders>
              <w:top w:val="single" w:color="auto" w:sz="4" w:space="0"/>
              <w:left w:val="single" w:color="auto" w:sz="4" w:space="0"/>
              <w:right w:val="single" w:color="auto" w:sz="4" w:space="0"/>
            </w:tcBorders>
            <w:vAlign w:val="center"/>
          </w:tcPr>
          <w:p>
            <w:pPr>
              <w:adjustRightInd w:val="0"/>
              <w:snapToGrid w:val="0"/>
              <w:spacing w:line="310" w:lineRule="atLeast"/>
              <w:rPr>
                <w:rFonts w:ascii="宋体" w:hAnsi="宋体"/>
                <w:color w:val="000000"/>
                <w:sz w:val="15"/>
                <w:szCs w:val="15"/>
              </w:rPr>
            </w:pPr>
            <w:r>
              <w:rPr>
                <w:rFonts w:ascii="宋体" w:hAnsi="宋体"/>
                <w:color w:val="000000"/>
                <w:sz w:val="15"/>
                <w:szCs w:val="15"/>
              </w:rPr>
              <w:t>100011021</w:t>
            </w:r>
          </w:p>
        </w:tc>
        <w:tc>
          <w:tcPr>
            <w:tcW w:w="1302" w:type="dxa"/>
            <w:gridSpan w:val="2"/>
            <w:tcBorders>
              <w:top w:val="single" w:color="auto" w:sz="4" w:space="0"/>
              <w:left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职业生涯规划(入学教育)</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sz w:val="15"/>
                <w:szCs w:val="15"/>
              </w:rPr>
            </w:pPr>
            <w:r>
              <w:rPr>
                <w:rFonts w:ascii="宋体" w:hAnsi="宋体"/>
                <w:sz w:val="15"/>
                <w:szCs w:val="15"/>
              </w:rPr>
              <w:t>0.5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sz w:val="15"/>
                <w:szCs w:val="15"/>
              </w:rPr>
              <w:t>6</w:t>
            </w:r>
            <w:r>
              <w:rPr>
                <w:rFonts w:hint="eastAsia" w:ascii="宋体" w:hAnsi="宋体"/>
                <w:sz w:val="15"/>
                <w:szCs w:val="15"/>
              </w:rPr>
              <w:t>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ind w:firstLine="75" w:firstLineChars="50"/>
              <w:rPr>
                <w:rFonts w:ascii="宋体" w:hAnsi="宋体"/>
                <w:color w:val="000000"/>
                <w:sz w:val="15"/>
                <w:szCs w:val="15"/>
              </w:rPr>
            </w:pPr>
          </w:p>
        </w:tc>
        <w:tc>
          <w:tcPr>
            <w:tcW w:w="411" w:type="dxa"/>
            <w:tcBorders>
              <w:top w:val="single" w:color="auto" w:sz="4" w:space="0"/>
              <w:left w:val="single" w:color="auto" w:sz="4" w:space="0"/>
              <w:right w:val="single" w:color="auto" w:sz="4" w:space="0"/>
            </w:tcBorders>
            <w:vAlign w:val="center"/>
          </w:tcPr>
          <w:p>
            <w:pPr>
              <w:adjustRightInd w:val="0"/>
              <w:snapToGrid w:val="0"/>
              <w:spacing w:line="240" w:lineRule="exact"/>
              <w:ind w:firstLine="63" w:firstLineChars="50"/>
              <w:jc w:val="center"/>
              <w:rPr>
                <w:rFonts w:ascii="宋体" w:hAnsi="宋体"/>
                <w:color w:val="000000"/>
                <w:spacing w:val="-12"/>
                <w:sz w:val="15"/>
                <w:szCs w:val="15"/>
              </w:rPr>
            </w:pPr>
            <w:r>
              <w:rPr>
                <w:rFonts w:hint="eastAsia" w:ascii="宋体" w:hAnsi="宋体"/>
                <w:color w:val="000000"/>
                <w:spacing w:val="-12"/>
                <w:sz w:val="15"/>
                <w:szCs w:val="15"/>
              </w:rPr>
              <w:t>6</w:t>
            </w:r>
          </w:p>
        </w:tc>
        <w:tc>
          <w:tcPr>
            <w:tcW w:w="966" w:type="dxa"/>
            <w:tcBorders>
              <w:top w:val="single" w:color="auto" w:sz="4" w:space="0"/>
              <w:left w:val="single" w:color="auto" w:sz="4" w:space="0"/>
              <w:right w:val="single" w:color="auto" w:sz="4" w:space="0"/>
            </w:tcBorders>
            <w:vAlign w:val="center"/>
          </w:tcPr>
          <w:p>
            <w:pPr>
              <w:adjustRightInd w:val="0"/>
              <w:snapToGrid w:val="0"/>
              <w:spacing w:line="310" w:lineRule="atLeast"/>
              <w:rPr>
                <w:rFonts w:hint="eastAsia" w:ascii="宋体" w:hAnsi="宋体"/>
                <w:sz w:val="15"/>
                <w:szCs w:val="15"/>
              </w:rPr>
            </w:pPr>
            <w:r>
              <w:rPr>
                <w:rFonts w:hint="eastAsia" w:ascii="宋体" w:hAnsi="宋体"/>
                <w:sz w:val="15"/>
                <w:szCs w:val="15"/>
              </w:rPr>
              <w:t>1</w:t>
            </w:r>
            <w:r>
              <w:rPr>
                <w:rFonts w:ascii="宋体" w:hAnsi="宋体"/>
                <w:sz w:val="15"/>
                <w:szCs w:val="15"/>
              </w:rPr>
              <w:t>00011023</w:t>
            </w:r>
          </w:p>
        </w:tc>
        <w:tc>
          <w:tcPr>
            <w:tcW w:w="1302" w:type="dxa"/>
            <w:gridSpan w:val="2"/>
            <w:tcBorders>
              <w:top w:val="single" w:color="auto" w:sz="4" w:space="0"/>
              <w:left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创业基础</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42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2+12H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ind w:firstLine="75" w:firstLineChars="50"/>
              <w:rPr>
                <w:rFonts w:ascii="宋体" w:hAnsi="宋体"/>
                <w:color w:val="000000"/>
                <w:sz w:val="15"/>
                <w:szCs w:val="15"/>
              </w:rPr>
            </w:pPr>
          </w:p>
        </w:tc>
        <w:tc>
          <w:tcPr>
            <w:tcW w:w="411" w:type="dxa"/>
            <w:tcBorders>
              <w:top w:val="single" w:color="auto" w:sz="4" w:space="0"/>
              <w:left w:val="single" w:color="auto" w:sz="4" w:space="0"/>
              <w:right w:val="single" w:color="auto" w:sz="4" w:space="0"/>
            </w:tcBorders>
            <w:vAlign w:val="center"/>
          </w:tcPr>
          <w:p>
            <w:pPr>
              <w:adjustRightInd w:val="0"/>
              <w:snapToGrid w:val="0"/>
              <w:spacing w:line="240" w:lineRule="exact"/>
              <w:ind w:firstLine="63" w:firstLineChars="50"/>
              <w:jc w:val="center"/>
              <w:rPr>
                <w:rFonts w:hint="eastAsia" w:ascii="宋体" w:hAnsi="宋体"/>
                <w:color w:val="000000"/>
                <w:spacing w:val="-12"/>
                <w:sz w:val="15"/>
                <w:szCs w:val="15"/>
              </w:rPr>
            </w:pPr>
            <w:r>
              <w:rPr>
                <w:rFonts w:hint="eastAsia" w:ascii="宋体" w:hAnsi="宋体"/>
                <w:color w:val="000000"/>
                <w:spacing w:val="-12"/>
                <w:sz w:val="15"/>
                <w:szCs w:val="15"/>
              </w:rPr>
              <w:t>7</w:t>
            </w:r>
          </w:p>
        </w:tc>
        <w:tc>
          <w:tcPr>
            <w:tcW w:w="966" w:type="dxa"/>
            <w:tcBorders>
              <w:top w:val="single" w:color="auto" w:sz="4" w:space="0"/>
              <w:left w:val="single" w:color="auto" w:sz="4" w:space="0"/>
              <w:right w:val="single" w:color="auto" w:sz="4" w:space="0"/>
            </w:tcBorders>
            <w:vAlign w:val="center"/>
          </w:tcPr>
          <w:p>
            <w:pPr>
              <w:rPr>
                <w:rFonts w:hint="eastAsia" w:ascii="宋体" w:hAnsi="宋体"/>
                <w:sz w:val="15"/>
                <w:szCs w:val="15"/>
              </w:rPr>
            </w:pPr>
            <w:r>
              <w:rPr>
                <w:rFonts w:ascii="宋体" w:hAnsi="宋体"/>
                <w:sz w:val="15"/>
                <w:szCs w:val="15"/>
              </w:rPr>
              <w:t>10</w:t>
            </w:r>
            <w:r>
              <w:rPr>
                <w:rFonts w:hint="eastAsia" w:ascii="宋体" w:hAnsi="宋体"/>
                <w:sz w:val="15"/>
                <w:szCs w:val="15"/>
              </w:rPr>
              <w:t>5311005</w:t>
            </w:r>
          </w:p>
        </w:tc>
        <w:tc>
          <w:tcPr>
            <w:tcW w:w="1302" w:type="dxa"/>
            <w:gridSpan w:val="2"/>
            <w:tcBorders>
              <w:top w:val="single" w:color="auto" w:sz="4" w:space="0"/>
              <w:left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大学生</w:t>
            </w:r>
            <w:r>
              <w:rPr>
                <w:rFonts w:ascii="宋体" w:hAnsi="宋体"/>
                <w:sz w:val="15"/>
                <w:szCs w:val="15"/>
              </w:rPr>
              <w:t>就业</w:t>
            </w:r>
            <w:r>
              <w:rPr>
                <w:rFonts w:hint="eastAsia" w:ascii="宋体" w:hAnsi="宋体"/>
                <w:sz w:val="15"/>
                <w:szCs w:val="15"/>
              </w:rPr>
              <w:t>指导</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42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2+12H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ind w:firstLine="75" w:firstLineChars="50"/>
              <w:rPr>
                <w:rFonts w:ascii="宋体" w:hAnsi="宋体"/>
                <w:color w:val="000000"/>
                <w:sz w:val="15"/>
                <w:szCs w:val="15"/>
              </w:rPr>
            </w:pPr>
          </w:p>
        </w:tc>
        <w:tc>
          <w:tcPr>
            <w:tcW w:w="411" w:type="dxa"/>
            <w:tcBorders>
              <w:top w:val="single" w:color="auto" w:sz="4" w:space="0"/>
              <w:left w:val="single" w:color="auto" w:sz="4" w:space="0"/>
              <w:right w:val="single" w:color="auto" w:sz="4" w:space="0"/>
            </w:tcBorders>
            <w:vAlign w:val="center"/>
          </w:tcPr>
          <w:p>
            <w:pPr>
              <w:snapToGrid w:val="0"/>
              <w:spacing w:line="240" w:lineRule="exact"/>
              <w:jc w:val="center"/>
              <w:rPr>
                <w:rFonts w:hint="eastAsia" w:ascii="宋体" w:hAnsi="宋体"/>
                <w:spacing w:val="-12"/>
                <w:sz w:val="15"/>
                <w:szCs w:val="15"/>
              </w:rPr>
            </w:pPr>
            <w:r>
              <w:rPr>
                <w:rFonts w:hint="eastAsia" w:ascii="宋体" w:hAnsi="宋体"/>
                <w:spacing w:val="-12"/>
                <w:sz w:val="15"/>
                <w:szCs w:val="15"/>
              </w:rPr>
              <w:t>8</w:t>
            </w:r>
          </w:p>
        </w:tc>
        <w:tc>
          <w:tcPr>
            <w:tcW w:w="966" w:type="dxa"/>
            <w:tcBorders>
              <w:top w:val="single" w:color="auto" w:sz="4" w:space="0"/>
              <w:left w:val="single" w:color="auto" w:sz="4" w:space="0"/>
              <w:right w:val="single" w:color="auto" w:sz="4" w:space="0"/>
            </w:tcBorders>
            <w:vAlign w:val="center"/>
          </w:tcPr>
          <w:p>
            <w:pPr>
              <w:rPr>
                <w:rFonts w:ascii="宋体" w:hAnsi="宋体"/>
                <w:sz w:val="15"/>
                <w:szCs w:val="15"/>
              </w:rPr>
            </w:pPr>
            <w:r>
              <w:rPr>
                <w:rFonts w:ascii="宋体" w:hAnsi="宋体"/>
                <w:sz w:val="15"/>
                <w:szCs w:val="15"/>
              </w:rPr>
              <w:t>100011024/27</w:t>
            </w:r>
          </w:p>
        </w:tc>
        <w:tc>
          <w:tcPr>
            <w:tcW w:w="1302" w:type="dxa"/>
            <w:gridSpan w:val="2"/>
            <w:tcBorders>
              <w:top w:val="single" w:color="auto" w:sz="4" w:space="0"/>
              <w:left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健康教育一、二</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sz w:val="15"/>
                <w:szCs w:val="15"/>
              </w:rPr>
            </w:pPr>
            <w:r>
              <w:rPr>
                <w:rFonts w:hint="eastAsia" w:ascii="宋体" w:hAnsi="宋体"/>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color w:val="943734"/>
                <w:sz w:val="15"/>
                <w:szCs w:val="15"/>
              </w:rPr>
              <w:t>8H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sz w:val="15"/>
                <w:szCs w:val="15"/>
              </w:rPr>
              <w:t>8</w:t>
            </w:r>
            <w:r>
              <w:rPr>
                <w:rFonts w:hint="eastAsia" w:ascii="宋体" w:hAnsi="宋体"/>
                <w:sz w:val="15"/>
                <w:szCs w:val="15"/>
              </w:rPr>
              <w:t>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ascii="宋体" w:hAnsi="宋体"/>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ind w:firstLine="75" w:firstLineChars="50"/>
              <w:rPr>
                <w:rFonts w:ascii="宋体" w:hAnsi="宋体"/>
                <w:color w:val="000000"/>
                <w:sz w:val="15"/>
                <w:szCs w:val="15"/>
              </w:rPr>
            </w:pPr>
          </w:p>
        </w:tc>
        <w:tc>
          <w:tcPr>
            <w:tcW w:w="411" w:type="dxa"/>
            <w:tcBorders>
              <w:top w:val="single" w:color="auto" w:sz="4" w:space="0"/>
              <w:left w:val="single" w:color="auto" w:sz="4" w:space="0"/>
              <w:right w:val="single" w:color="auto" w:sz="4" w:space="0"/>
            </w:tcBorders>
            <w:vAlign w:val="center"/>
          </w:tcPr>
          <w:p>
            <w:pPr>
              <w:snapToGrid w:val="0"/>
              <w:spacing w:line="240" w:lineRule="exact"/>
              <w:jc w:val="center"/>
              <w:rPr>
                <w:rFonts w:hint="eastAsia" w:ascii="宋体" w:hAnsi="宋体"/>
                <w:color w:val="000000"/>
                <w:spacing w:val="-12"/>
                <w:sz w:val="15"/>
                <w:szCs w:val="15"/>
              </w:rPr>
            </w:pPr>
            <w:r>
              <w:rPr>
                <w:rFonts w:hint="eastAsia" w:ascii="宋体" w:hAnsi="宋体"/>
                <w:color w:val="000000"/>
                <w:spacing w:val="-12"/>
                <w:sz w:val="15"/>
                <w:szCs w:val="15"/>
              </w:rPr>
              <w:t>9</w:t>
            </w:r>
          </w:p>
        </w:tc>
        <w:tc>
          <w:tcPr>
            <w:tcW w:w="966" w:type="dxa"/>
            <w:tcBorders>
              <w:top w:val="single" w:color="auto" w:sz="4" w:space="0"/>
              <w:left w:val="single" w:color="auto" w:sz="4" w:space="0"/>
              <w:right w:val="single" w:color="auto" w:sz="4" w:space="0"/>
            </w:tcBorders>
            <w:vAlign w:val="center"/>
          </w:tcPr>
          <w:p>
            <w:pPr>
              <w:rPr>
                <w:rFonts w:hint="eastAsia" w:ascii="宋体" w:hAnsi="宋体"/>
                <w:color w:val="000000"/>
                <w:sz w:val="15"/>
                <w:szCs w:val="15"/>
              </w:rPr>
            </w:pPr>
            <w:r>
              <w:rPr>
                <w:rFonts w:ascii="宋体" w:hAnsi="宋体"/>
                <w:color w:val="000000"/>
                <w:sz w:val="15"/>
                <w:szCs w:val="15"/>
              </w:rPr>
              <w:t>100011025/28</w:t>
            </w:r>
          </w:p>
        </w:tc>
        <w:tc>
          <w:tcPr>
            <w:tcW w:w="1302" w:type="dxa"/>
            <w:gridSpan w:val="2"/>
            <w:tcBorders>
              <w:top w:val="single" w:color="auto" w:sz="4" w:space="0"/>
              <w:left w:val="single" w:color="auto" w:sz="4" w:space="0"/>
              <w:right w:val="single" w:color="auto" w:sz="4" w:space="0"/>
            </w:tcBorders>
            <w:vAlign w:val="center"/>
          </w:tcPr>
          <w:p>
            <w:pPr>
              <w:spacing w:line="240" w:lineRule="atLeast"/>
              <w:rPr>
                <w:rFonts w:hint="eastAsia" w:ascii="宋体" w:hAnsi="宋体"/>
                <w:color w:val="000000"/>
                <w:sz w:val="15"/>
                <w:szCs w:val="15"/>
              </w:rPr>
            </w:pPr>
            <w:r>
              <w:rPr>
                <w:rFonts w:hint="eastAsia" w:ascii="宋体" w:hAnsi="宋体"/>
                <w:color w:val="000000"/>
                <w:sz w:val="15"/>
                <w:szCs w:val="15"/>
              </w:rPr>
              <w:t>安全教育一、二</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color w:val="000000"/>
                <w:sz w:val="15"/>
                <w:szCs w:val="15"/>
              </w:rPr>
            </w:pPr>
            <w:r>
              <w:rPr>
                <w:rFonts w:hint="eastAsia" w:ascii="宋体" w:hAnsi="宋体"/>
                <w:color w:val="000000"/>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r>
              <w:rPr>
                <w:rFonts w:hint="eastAsia" w:ascii="宋体" w:hAnsi="宋体"/>
                <w:color w:val="000000"/>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r>
              <w:rPr>
                <w:rFonts w:hint="eastAsia" w:ascii="宋体" w:hAnsi="宋体"/>
                <w:color w:val="000000"/>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color w:val="000000"/>
                <w:sz w:val="15"/>
                <w:szCs w:val="15"/>
              </w:rPr>
            </w:pPr>
            <w:r>
              <w:rPr>
                <w:rFonts w:hint="eastAsia" w:ascii="宋体" w:hAnsi="宋体"/>
                <w:color w:val="000000"/>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r>
              <w:rPr>
                <w:rFonts w:ascii="宋体" w:hAnsi="宋体"/>
                <w:color w:val="000000"/>
                <w:sz w:val="15"/>
                <w:szCs w:val="15"/>
              </w:rPr>
              <w:t>8</w:t>
            </w:r>
            <w:r>
              <w:rPr>
                <w:rFonts w:hint="eastAsia" w:ascii="宋体" w:hAnsi="宋体"/>
                <w:color w:val="000000"/>
                <w:sz w:val="15"/>
                <w:szCs w:val="15"/>
              </w:rPr>
              <w:t>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color w:val="000000"/>
                <w:sz w:val="15"/>
                <w:szCs w:val="15"/>
              </w:rPr>
            </w:pPr>
            <w:r>
              <w:rPr>
                <w:rFonts w:ascii="宋体" w:hAnsi="宋体"/>
                <w:color w:val="000000"/>
                <w:sz w:val="15"/>
                <w:szCs w:val="15"/>
              </w:rPr>
              <w:t>8</w:t>
            </w:r>
            <w:r>
              <w:rPr>
                <w:rFonts w:hint="eastAsia" w:ascii="宋体" w:hAnsi="宋体"/>
                <w:color w:val="000000"/>
                <w:sz w:val="15"/>
                <w:szCs w:val="15"/>
              </w:rPr>
              <w:t>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color w:val="000000"/>
                <w:sz w:val="15"/>
                <w:szCs w:val="15"/>
              </w:rPr>
            </w:pPr>
            <w:r>
              <w:rPr>
                <w:rFonts w:ascii="宋体" w:hAnsi="宋体"/>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10"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ind w:firstLine="75" w:firstLineChars="50"/>
              <w:jc w:val="center"/>
              <w:rPr>
                <w:rFonts w:ascii="宋体" w:hAnsi="宋体"/>
                <w:color w:val="000000"/>
                <w:sz w:val="15"/>
                <w:szCs w:val="15"/>
              </w:rPr>
            </w:pPr>
          </w:p>
        </w:tc>
        <w:tc>
          <w:tcPr>
            <w:tcW w:w="411"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color w:val="000000"/>
                <w:spacing w:val="-12"/>
                <w:sz w:val="15"/>
                <w:szCs w:val="15"/>
              </w:rPr>
            </w:pPr>
            <w:r>
              <w:rPr>
                <w:rFonts w:hint="eastAsia" w:ascii="宋体" w:hAnsi="宋体"/>
                <w:color w:val="000000"/>
                <w:spacing w:val="-12"/>
                <w:sz w:val="15"/>
                <w:szCs w:val="15"/>
              </w:rPr>
              <w:t>10</w:t>
            </w:r>
          </w:p>
        </w:tc>
        <w:tc>
          <w:tcPr>
            <w:tcW w:w="966" w:type="dxa"/>
            <w:tcBorders>
              <w:top w:val="single" w:color="auto" w:sz="4" w:space="0"/>
              <w:left w:val="single" w:color="auto" w:sz="4" w:space="0"/>
              <w:right w:val="single" w:color="auto" w:sz="4" w:space="0"/>
            </w:tcBorders>
            <w:vAlign w:val="center"/>
          </w:tcPr>
          <w:p>
            <w:pPr>
              <w:adjustRightInd w:val="0"/>
              <w:snapToGrid w:val="0"/>
              <w:spacing w:line="310" w:lineRule="atLeast"/>
              <w:rPr>
                <w:rFonts w:ascii="宋体" w:hAnsi="宋体"/>
                <w:sz w:val="15"/>
                <w:szCs w:val="15"/>
              </w:rPr>
            </w:pPr>
            <w:r>
              <w:rPr>
                <w:rFonts w:ascii="宋体" w:hAnsi="宋体"/>
                <w:sz w:val="15"/>
                <w:szCs w:val="15"/>
              </w:rPr>
              <w:t>100011013</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中国传统文化</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42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w w:val="9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sz w:val="15"/>
                <w:szCs w:val="15"/>
              </w:rPr>
              <w:t>2+12H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391" w:type="dxa"/>
            <w:vMerge w:val="continue"/>
            <w:tcBorders>
              <w:left w:val="single" w:color="auto" w:sz="4" w:space="0"/>
              <w:right w:val="single" w:color="auto" w:sz="4" w:space="0"/>
            </w:tcBorders>
          </w:tcPr>
          <w:p>
            <w:pPr>
              <w:snapToGrid w:val="0"/>
              <w:spacing w:line="240" w:lineRule="exact"/>
              <w:jc w:val="center"/>
              <w:rPr>
                <w:rFonts w:ascii="宋体" w:hAnsi="宋体"/>
                <w:color w:val="000000"/>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olor w:val="000000"/>
                <w:spacing w:val="-12"/>
                <w:sz w:val="15"/>
                <w:szCs w:val="15"/>
              </w:rPr>
            </w:pPr>
            <w:r>
              <w:rPr>
                <w:rFonts w:hint="eastAsia" w:ascii="宋体" w:hAnsi="宋体"/>
                <w:color w:val="000000"/>
                <w:spacing w:val="-12"/>
                <w:sz w:val="15"/>
                <w:szCs w:val="15"/>
              </w:rPr>
              <w:t>11</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ascii="宋体" w:hAnsi="宋体"/>
                <w:sz w:val="15"/>
                <w:szCs w:val="15"/>
              </w:rPr>
              <w:t>105111004/05</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大学语文一、二</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0" w:hRule="atLeast"/>
          <w:jc w:val="center"/>
        </w:trPr>
        <w:tc>
          <w:tcPr>
            <w:tcW w:w="391"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color w:val="000000"/>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color w:val="000000"/>
                <w:spacing w:val="-12"/>
                <w:sz w:val="15"/>
                <w:szCs w:val="15"/>
              </w:rPr>
            </w:pPr>
            <w:r>
              <w:rPr>
                <w:rFonts w:hint="eastAsia" w:ascii="宋体" w:hAnsi="宋体"/>
                <w:color w:val="000000"/>
                <w:spacing w:val="-12"/>
                <w:sz w:val="15"/>
                <w:szCs w:val="15"/>
              </w:rPr>
              <w:t>12</w:t>
            </w: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0" w:lineRule="atLeast"/>
              <w:jc w:val="center"/>
              <w:rPr>
                <w:rFonts w:hint="eastAsia" w:ascii="宋体" w:hAnsi="宋体"/>
                <w:color w:val="000000"/>
                <w:sz w:val="15"/>
                <w:szCs w:val="15"/>
              </w:rPr>
            </w:pPr>
            <w:r>
              <w:rPr>
                <w:rFonts w:ascii="宋体" w:hAnsi="宋体"/>
                <w:color w:val="000000"/>
                <w:sz w:val="15"/>
                <w:szCs w:val="15"/>
              </w:rPr>
              <w:t>105211001/02/03/11</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r>
              <w:rPr>
                <w:rFonts w:hint="eastAsia" w:ascii="宋体" w:hAnsi="宋体"/>
                <w:color w:val="000000"/>
                <w:sz w:val="15"/>
                <w:szCs w:val="15"/>
              </w:rPr>
              <w:t>体育与健康一、二、三、四</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color w:val="000000"/>
                <w:sz w:val="15"/>
                <w:szCs w:val="15"/>
              </w:rPr>
            </w:pPr>
            <w:r>
              <w:rPr>
                <w:rFonts w:hint="eastAsia" w:ascii="宋体" w:hAnsi="宋体"/>
                <w:color w:val="000000"/>
                <w:sz w:val="15"/>
                <w:szCs w:val="15"/>
              </w:rPr>
              <w:t>8</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r>
              <w:rPr>
                <w:rFonts w:hint="eastAsia" w:ascii="宋体" w:hAnsi="宋体"/>
                <w:color w:val="000000"/>
                <w:sz w:val="15"/>
                <w:szCs w:val="15"/>
              </w:rPr>
              <w:t>120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r>
              <w:rPr>
                <w:rFonts w:hint="eastAsia" w:ascii="宋体" w:hAnsi="宋体"/>
                <w:color w:val="000000"/>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r>
              <w:rPr>
                <w:rFonts w:hint="eastAsia" w:ascii="宋体" w:hAnsi="宋体"/>
                <w:color w:val="000000"/>
                <w:sz w:val="15"/>
                <w:szCs w:val="15"/>
              </w:rPr>
              <w:t>104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r>
              <w:rPr>
                <w:rFonts w:hint="eastAsia" w:ascii="宋体" w:hAnsi="宋体"/>
                <w:color w:val="000000"/>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r>
              <w:rPr>
                <w:rFonts w:hint="eastAsia" w:ascii="宋体" w:hAnsi="宋体"/>
                <w:color w:val="000000"/>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r>
              <w:rPr>
                <w:rFonts w:hint="eastAsia" w:ascii="宋体" w:hAnsi="宋体"/>
                <w:color w:val="000000"/>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r>
              <w:rPr>
                <w:rFonts w:hint="eastAsia" w:ascii="宋体" w:hAnsi="宋体"/>
                <w:color w:val="000000"/>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r>
              <w:rPr>
                <w:rFonts w:ascii="宋体" w:hAnsi="宋体"/>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391" w:type="dxa"/>
            <w:vMerge w:val="continue"/>
            <w:tcBorders>
              <w:left w:val="single" w:color="auto" w:sz="4" w:space="0"/>
              <w:right w:val="single" w:color="auto" w:sz="4" w:space="0"/>
            </w:tcBorders>
            <w:shd w:val="clear" w:color="auto" w:fill="auto"/>
          </w:tcPr>
          <w:p>
            <w:pPr>
              <w:adjustRightInd w:val="0"/>
              <w:snapToGrid w:val="0"/>
              <w:spacing w:line="240" w:lineRule="exact"/>
              <w:jc w:val="center"/>
              <w:rPr>
                <w:rFonts w:ascii="宋体" w:hAnsi="宋体"/>
                <w:color w:val="000000"/>
                <w:sz w:val="15"/>
                <w:szCs w:val="15"/>
              </w:rPr>
            </w:pPr>
          </w:p>
        </w:tc>
        <w:tc>
          <w:tcPr>
            <w:tcW w:w="41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exact"/>
              <w:jc w:val="center"/>
              <w:rPr>
                <w:rFonts w:hint="eastAsia" w:ascii="宋体" w:hAnsi="宋体"/>
                <w:color w:val="000000"/>
                <w:spacing w:val="-12"/>
                <w:sz w:val="15"/>
                <w:szCs w:val="15"/>
              </w:rPr>
            </w:pPr>
          </w:p>
          <w:p>
            <w:pPr>
              <w:adjustRightInd w:val="0"/>
              <w:snapToGrid w:val="0"/>
              <w:spacing w:line="240" w:lineRule="exact"/>
              <w:jc w:val="center"/>
              <w:rPr>
                <w:rFonts w:hint="eastAsia" w:ascii="宋体" w:hAnsi="宋体"/>
                <w:color w:val="000000"/>
                <w:spacing w:val="-12"/>
                <w:sz w:val="15"/>
                <w:szCs w:val="15"/>
              </w:rPr>
            </w:pPr>
          </w:p>
          <w:p>
            <w:pPr>
              <w:adjustRightInd w:val="0"/>
              <w:snapToGrid w:val="0"/>
              <w:spacing w:line="240" w:lineRule="exact"/>
              <w:jc w:val="center"/>
              <w:rPr>
                <w:rFonts w:hint="eastAsia" w:ascii="宋体" w:hAnsi="宋体"/>
                <w:color w:val="000000"/>
                <w:spacing w:val="-12"/>
                <w:sz w:val="15"/>
                <w:szCs w:val="15"/>
              </w:rPr>
            </w:pPr>
          </w:p>
          <w:p>
            <w:pPr>
              <w:adjustRightInd w:val="0"/>
              <w:snapToGrid w:val="0"/>
              <w:spacing w:line="240" w:lineRule="exact"/>
              <w:jc w:val="center"/>
              <w:rPr>
                <w:rFonts w:hint="eastAsia" w:ascii="宋体" w:hAnsi="宋体"/>
                <w:color w:val="000000"/>
                <w:spacing w:val="-12"/>
                <w:sz w:val="15"/>
                <w:szCs w:val="15"/>
              </w:rPr>
            </w:pPr>
            <w:r>
              <w:rPr>
                <w:rFonts w:hint="eastAsia" w:ascii="宋体" w:hAnsi="宋体"/>
                <w:color w:val="000000"/>
                <w:spacing w:val="-12"/>
                <w:sz w:val="15"/>
                <w:szCs w:val="15"/>
              </w:rPr>
              <w:t>13</w:t>
            </w:r>
          </w:p>
        </w:tc>
        <w:tc>
          <w:tcPr>
            <w:tcW w:w="966" w:type="dxa"/>
            <w:tcBorders>
              <w:top w:val="single" w:color="auto" w:sz="4" w:space="0"/>
              <w:left w:val="single" w:color="auto" w:sz="4" w:space="0"/>
              <w:bottom w:val="single" w:color="auto" w:sz="4" w:space="0"/>
              <w:right w:val="single" w:color="auto" w:sz="4" w:space="0"/>
            </w:tcBorders>
            <w:shd w:val="clear" w:color="auto" w:fill="BEBEBE"/>
            <w:vAlign w:val="center"/>
          </w:tcPr>
          <w:p>
            <w:pPr>
              <w:adjustRightInd w:val="0"/>
              <w:snapToGrid w:val="0"/>
              <w:spacing w:line="310" w:lineRule="atLeast"/>
              <w:rPr>
                <w:rFonts w:ascii="宋体" w:hAnsi="宋体"/>
                <w:sz w:val="15"/>
                <w:szCs w:val="15"/>
              </w:rPr>
            </w:pPr>
            <w:r>
              <w:rPr>
                <w:rFonts w:ascii="宋体" w:hAnsi="宋体"/>
                <w:sz w:val="15"/>
                <w:szCs w:val="15"/>
              </w:rPr>
              <w:t>1054</w:t>
            </w:r>
            <w:r>
              <w:rPr>
                <w:rFonts w:hint="eastAsia" w:ascii="宋体" w:hAnsi="宋体"/>
                <w:sz w:val="15"/>
                <w:szCs w:val="15"/>
              </w:rPr>
              <w:t>22</w:t>
            </w:r>
            <w:r>
              <w:rPr>
                <w:rFonts w:ascii="宋体" w:hAnsi="宋体"/>
                <w:sz w:val="15"/>
                <w:szCs w:val="15"/>
              </w:rPr>
              <w:t>001/02</w:t>
            </w:r>
          </w:p>
        </w:tc>
        <w:tc>
          <w:tcPr>
            <w:tcW w:w="1302"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r>
              <w:rPr>
                <w:rFonts w:hint="eastAsia" w:ascii="宋体" w:hAnsi="宋体"/>
                <w:sz w:val="15"/>
                <w:szCs w:val="15"/>
              </w:rPr>
              <w:t>大学英语一、二</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r>
              <w:rPr>
                <w:rFonts w:hint="eastAsia" w:ascii="宋体" w:hAnsi="宋体"/>
                <w:sz w:val="15"/>
                <w:szCs w:val="15"/>
              </w:rPr>
              <w:t>8</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r>
              <w:rPr>
                <w:rFonts w:hint="eastAsia" w:ascii="宋体" w:hAnsi="宋体"/>
                <w:sz w:val="15"/>
                <w:szCs w:val="15"/>
              </w:rPr>
              <w:t>120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r>
              <w:rPr>
                <w:rFonts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r>
              <w:rPr>
                <w:rFonts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r>
              <w:rPr>
                <w:rFonts w:ascii="宋体" w:hAnsi="宋体"/>
                <w:sz w:val="15"/>
                <w:szCs w:val="15"/>
              </w:rPr>
              <w:t>*</w:t>
            </w:r>
          </w:p>
        </w:tc>
        <w:tc>
          <w:tcPr>
            <w:tcW w:w="29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391" w:type="dxa"/>
            <w:vMerge w:val="continue"/>
            <w:tcBorders>
              <w:left w:val="single" w:color="auto" w:sz="4" w:space="0"/>
              <w:right w:val="single" w:color="auto" w:sz="4" w:space="0"/>
            </w:tcBorders>
            <w:shd w:val="clear" w:color="auto" w:fill="auto"/>
          </w:tcPr>
          <w:p>
            <w:pPr>
              <w:adjustRightInd w:val="0"/>
              <w:snapToGrid w:val="0"/>
              <w:spacing w:line="240" w:lineRule="exact"/>
              <w:jc w:val="center"/>
              <w:rPr>
                <w:rFonts w:ascii="宋体" w:hAnsi="宋体"/>
                <w:color w:val="000000"/>
                <w:sz w:val="15"/>
                <w:szCs w:val="15"/>
              </w:rPr>
            </w:pPr>
          </w:p>
        </w:tc>
        <w:tc>
          <w:tcPr>
            <w:tcW w:w="411" w:type="dxa"/>
            <w:vMerge w:val="continue"/>
            <w:tcBorders>
              <w:left w:val="single" w:color="auto" w:sz="4" w:space="0"/>
              <w:right w:val="single" w:color="auto" w:sz="4" w:space="0"/>
            </w:tcBorders>
            <w:shd w:val="clear" w:color="auto" w:fill="auto"/>
            <w:vAlign w:val="center"/>
          </w:tcPr>
          <w:p>
            <w:pPr>
              <w:adjustRightInd w:val="0"/>
              <w:snapToGrid w:val="0"/>
              <w:spacing w:line="240" w:lineRule="exact"/>
              <w:jc w:val="center"/>
              <w:rPr>
                <w:rFonts w:hint="eastAsia" w:ascii="宋体" w:hAnsi="宋体"/>
                <w:color w:val="000000"/>
                <w:spacing w:val="-12"/>
                <w:sz w:val="15"/>
                <w:szCs w:val="15"/>
              </w:rPr>
            </w:pPr>
          </w:p>
        </w:tc>
        <w:tc>
          <w:tcPr>
            <w:tcW w:w="966" w:type="dxa"/>
            <w:tcBorders>
              <w:top w:val="single" w:color="auto" w:sz="4" w:space="0"/>
              <w:left w:val="single" w:color="auto" w:sz="4" w:space="0"/>
              <w:bottom w:val="single" w:color="auto" w:sz="4" w:space="0"/>
              <w:right w:val="single" w:color="auto" w:sz="4" w:space="0"/>
            </w:tcBorders>
            <w:shd w:val="clear" w:color="auto" w:fill="BEBEBE"/>
            <w:vAlign w:val="center"/>
          </w:tcPr>
          <w:p>
            <w:pPr>
              <w:adjustRightInd w:val="0"/>
              <w:snapToGrid w:val="0"/>
              <w:spacing w:line="310" w:lineRule="atLeast"/>
              <w:rPr>
                <w:rFonts w:hint="eastAsia" w:ascii="宋体" w:hAnsi="宋体"/>
                <w:sz w:val="15"/>
                <w:szCs w:val="15"/>
                <w:lang w:val="en-US" w:eastAsia="zh-CN"/>
              </w:rPr>
            </w:pPr>
            <w:r>
              <w:rPr>
                <w:rFonts w:hint="eastAsia" w:ascii="宋体" w:hAnsi="宋体"/>
                <w:sz w:val="15"/>
                <w:szCs w:val="15"/>
                <w:lang w:val="en-US" w:eastAsia="zh-CN"/>
              </w:rPr>
              <w:t>510011012</w:t>
            </w:r>
          </w:p>
        </w:tc>
        <w:tc>
          <w:tcPr>
            <w:tcW w:w="1302"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hint="eastAsia" w:ascii="宋体" w:hAnsi="宋体"/>
                <w:sz w:val="15"/>
                <w:szCs w:val="15"/>
              </w:rPr>
            </w:pPr>
            <w:r>
              <w:rPr>
                <w:rFonts w:hint="eastAsia" w:ascii="宋体" w:hAnsi="宋体"/>
                <w:sz w:val="15"/>
                <w:szCs w:val="15"/>
              </w:rPr>
              <w:t>管理基础（选）</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r>
              <w:rPr>
                <w:rFonts w:ascii="宋体" w:hAnsi="宋体"/>
                <w:sz w:val="15"/>
                <w:szCs w:val="15"/>
              </w:rPr>
              <w:t>*</w:t>
            </w:r>
          </w:p>
        </w:tc>
        <w:tc>
          <w:tcPr>
            <w:tcW w:w="29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391" w:type="dxa"/>
            <w:vMerge w:val="continue"/>
            <w:tcBorders>
              <w:left w:val="single" w:color="auto" w:sz="4" w:space="0"/>
              <w:right w:val="single" w:color="auto" w:sz="4" w:space="0"/>
            </w:tcBorders>
            <w:shd w:val="clear" w:color="auto" w:fill="auto"/>
          </w:tcPr>
          <w:p>
            <w:pPr>
              <w:adjustRightInd w:val="0"/>
              <w:snapToGrid w:val="0"/>
              <w:spacing w:line="240" w:lineRule="exact"/>
              <w:jc w:val="center"/>
              <w:rPr>
                <w:rFonts w:ascii="宋体" w:hAnsi="宋体"/>
                <w:color w:val="000000"/>
                <w:sz w:val="15"/>
                <w:szCs w:val="15"/>
              </w:rPr>
            </w:pPr>
          </w:p>
        </w:tc>
        <w:tc>
          <w:tcPr>
            <w:tcW w:w="411" w:type="dxa"/>
            <w:vMerge w:val="continue"/>
            <w:tcBorders>
              <w:left w:val="single" w:color="auto" w:sz="4" w:space="0"/>
              <w:right w:val="single" w:color="auto" w:sz="4" w:space="0"/>
            </w:tcBorders>
            <w:shd w:val="clear" w:color="auto" w:fill="auto"/>
            <w:vAlign w:val="center"/>
          </w:tcPr>
          <w:p>
            <w:pPr>
              <w:adjustRightInd w:val="0"/>
              <w:snapToGrid w:val="0"/>
              <w:spacing w:line="240" w:lineRule="exact"/>
              <w:jc w:val="center"/>
              <w:rPr>
                <w:rFonts w:hint="eastAsia" w:ascii="宋体" w:hAnsi="宋体"/>
                <w:color w:val="000000"/>
                <w:spacing w:val="-12"/>
                <w:sz w:val="15"/>
                <w:szCs w:val="15"/>
              </w:rPr>
            </w:pPr>
          </w:p>
        </w:tc>
        <w:tc>
          <w:tcPr>
            <w:tcW w:w="966" w:type="dxa"/>
            <w:tcBorders>
              <w:top w:val="single" w:color="auto" w:sz="4" w:space="0"/>
              <w:left w:val="single" w:color="auto" w:sz="4" w:space="0"/>
              <w:bottom w:val="single" w:color="auto" w:sz="4" w:space="0"/>
              <w:right w:val="single" w:color="auto" w:sz="4" w:space="0"/>
            </w:tcBorders>
            <w:shd w:val="clear" w:color="auto" w:fill="BEBEBE"/>
            <w:vAlign w:val="center"/>
          </w:tcPr>
          <w:p>
            <w:pPr>
              <w:adjustRightInd w:val="0"/>
              <w:snapToGrid w:val="0"/>
              <w:spacing w:line="310" w:lineRule="atLeast"/>
              <w:rPr>
                <w:rFonts w:hint="eastAsia" w:ascii="宋体" w:hAnsi="宋体"/>
                <w:sz w:val="15"/>
                <w:szCs w:val="15"/>
                <w:lang w:val="en-US" w:eastAsia="zh-CN"/>
              </w:rPr>
            </w:pPr>
            <w:r>
              <w:rPr>
                <w:rFonts w:hint="eastAsia" w:ascii="宋体" w:hAnsi="宋体"/>
                <w:sz w:val="15"/>
                <w:szCs w:val="15"/>
                <w:lang w:val="en-US" w:eastAsia="zh-CN"/>
              </w:rPr>
              <w:t>510011014</w:t>
            </w:r>
          </w:p>
        </w:tc>
        <w:tc>
          <w:tcPr>
            <w:tcW w:w="1302"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hint="eastAsia" w:ascii="宋体" w:hAnsi="宋体"/>
                <w:sz w:val="15"/>
                <w:szCs w:val="15"/>
              </w:rPr>
            </w:pPr>
            <w:r>
              <w:rPr>
                <w:rFonts w:hint="eastAsia" w:ascii="宋体" w:hAnsi="宋体"/>
                <w:sz w:val="15"/>
                <w:szCs w:val="15"/>
              </w:rPr>
              <w:t>经济基础（选）</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r>
              <w:rPr>
                <w:rFonts w:ascii="宋体" w:hAnsi="宋体"/>
                <w:sz w:val="15"/>
                <w:szCs w:val="15"/>
              </w:rPr>
              <w:t>*</w:t>
            </w:r>
          </w:p>
        </w:tc>
        <w:tc>
          <w:tcPr>
            <w:tcW w:w="29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391" w:type="dxa"/>
            <w:vMerge w:val="continue"/>
            <w:tcBorders>
              <w:left w:val="single" w:color="auto" w:sz="4" w:space="0"/>
              <w:right w:val="single" w:color="auto" w:sz="4" w:space="0"/>
            </w:tcBorders>
            <w:shd w:val="clear" w:color="auto" w:fill="auto"/>
          </w:tcPr>
          <w:p>
            <w:pPr>
              <w:adjustRightInd w:val="0"/>
              <w:snapToGrid w:val="0"/>
              <w:spacing w:line="240" w:lineRule="exact"/>
              <w:jc w:val="center"/>
              <w:rPr>
                <w:rFonts w:ascii="宋体" w:hAnsi="宋体"/>
                <w:color w:val="000000"/>
                <w:sz w:val="15"/>
                <w:szCs w:val="15"/>
              </w:rPr>
            </w:pPr>
          </w:p>
        </w:tc>
        <w:tc>
          <w:tcPr>
            <w:tcW w:w="411" w:type="dxa"/>
            <w:vMerge w:val="continue"/>
            <w:tcBorders>
              <w:left w:val="single" w:color="auto" w:sz="4" w:space="0"/>
              <w:right w:val="single" w:color="auto" w:sz="4" w:space="0"/>
            </w:tcBorders>
            <w:shd w:val="clear" w:color="auto" w:fill="auto"/>
            <w:vAlign w:val="center"/>
          </w:tcPr>
          <w:p>
            <w:pPr>
              <w:adjustRightInd w:val="0"/>
              <w:snapToGrid w:val="0"/>
              <w:spacing w:line="240" w:lineRule="exact"/>
              <w:jc w:val="center"/>
              <w:rPr>
                <w:rFonts w:hint="eastAsia" w:ascii="宋体" w:hAnsi="宋体"/>
                <w:color w:val="000000"/>
                <w:spacing w:val="-12"/>
                <w:sz w:val="15"/>
                <w:szCs w:val="15"/>
              </w:rPr>
            </w:pPr>
          </w:p>
        </w:tc>
        <w:tc>
          <w:tcPr>
            <w:tcW w:w="966" w:type="dxa"/>
            <w:tcBorders>
              <w:top w:val="single" w:color="auto" w:sz="4" w:space="0"/>
              <w:left w:val="single" w:color="auto" w:sz="4" w:space="0"/>
              <w:bottom w:val="single" w:color="auto" w:sz="4" w:space="0"/>
              <w:right w:val="single" w:color="auto" w:sz="4" w:space="0"/>
            </w:tcBorders>
            <w:shd w:val="clear" w:color="auto" w:fill="BEBEBE"/>
            <w:vAlign w:val="center"/>
          </w:tcPr>
          <w:p>
            <w:pPr>
              <w:adjustRightInd w:val="0"/>
              <w:snapToGrid w:val="0"/>
              <w:spacing w:line="310" w:lineRule="atLeast"/>
              <w:rPr>
                <w:rFonts w:hint="eastAsia" w:ascii="宋体" w:hAnsi="宋体"/>
                <w:sz w:val="15"/>
                <w:szCs w:val="15"/>
                <w:lang w:val="en-US" w:eastAsia="zh-CN"/>
              </w:rPr>
            </w:pPr>
            <w:r>
              <w:rPr>
                <w:rFonts w:hint="eastAsia" w:ascii="宋体" w:hAnsi="宋体"/>
                <w:sz w:val="15"/>
                <w:szCs w:val="15"/>
                <w:lang w:val="en-US" w:eastAsia="zh-CN"/>
              </w:rPr>
              <w:t>510011002</w:t>
            </w:r>
          </w:p>
        </w:tc>
        <w:tc>
          <w:tcPr>
            <w:tcW w:w="1302"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hint="eastAsia" w:ascii="宋体" w:hAnsi="宋体"/>
                <w:sz w:val="15"/>
                <w:szCs w:val="15"/>
              </w:rPr>
            </w:pPr>
            <w:r>
              <w:rPr>
                <w:rFonts w:hint="eastAsia" w:ascii="宋体" w:hAnsi="宋体"/>
                <w:sz w:val="15"/>
                <w:szCs w:val="15"/>
              </w:rPr>
              <w:t>市场营销（选）</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r>
              <w:rPr>
                <w:rFonts w:ascii="宋体" w:hAnsi="宋体"/>
                <w:sz w:val="15"/>
                <w:szCs w:val="15"/>
              </w:rPr>
              <w:t>*</w:t>
            </w:r>
          </w:p>
        </w:tc>
        <w:tc>
          <w:tcPr>
            <w:tcW w:w="29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391" w:type="dxa"/>
            <w:vMerge w:val="continue"/>
            <w:tcBorders>
              <w:left w:val="single" w:color="auto" w:sz="4" w:space="0"/>
              <w:right w:val="single" w:color="auto" w:sz="4" w:space="0"/>
            </w:tcBorders>
            <w:shd w:val="clear" w:color="auto" w:fill="auto"/>
          </w:tcPr>
          <w:p>
            <w:pPr>
              <w:adjustRightInd w:val="0"/>
              <w:snapToGrid w:val="0"/>
              <w:spacing w:line="240" w:lineRule="exact"/>
              <w:jc w:val="center"/>
              <w:rPr>
                <w:rFonts w:ascii="宋体" w:hAnsi="宋体"/>
                <w:color w:val="000000"/>
                <w:sz w:val="15"/>
                <w:szCs w:val="15"/>
              </w:rPr>
            </w:pPr>
          </w:p>
        </w:tc>
        <w:tc>
          <w:tcPr>
            <w:tcW w:w="411"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eastAsia" w:ascii="宋体" w:hAnsi="宋体"/>
                <w:color w:val="000000"/>
                <w:spacing w:val="-12"/>
                <w:sz w:val="15"/>
                <w:szCs w:val="15"/>
              </w:rPr>
            </w:pPr>
          </w:p>
        </w:tc>
        <w:tc>
          <w:tcPr>
            <w:tcW w:w="966" w:type="dxa"/>
            <w:tcBorders>
              <w:top w:val="single" w:color="auto" w:sz="4" w:space="0"/>
              <w:left w:val="single" w:color="auto" w:sz="4" w:space="0"/>
              <w:bottom w:val="single" w:color="auto" w:sz="4" w:space="0"/>
              <w:right w:val="single" w:color="auto" w:sz="4" w:space="0"/>
            </w:tcBorders>
            <w:shd w:val="clear" w:color="auto" w:fill="BEBEBE"/>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sz w:val="15"/>
                <w:szCs w:val="15"/>
                <w:lang w:val="en-US" w:eastAsia="zh-CN"/>
              </w:rPr>
              <w:t>510011003</w:t>
            </w:r>
          </w:p>
        </w:tc>
        <w:tc>
          <w:tcPr>
            <w:tcW w:w="1302"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hint="eastAsia" w:ascii="宋体" w:hAnsi="宋体"/>
                <w:sz w:val="15"/>
                <w:szCs w:val="15"/>
              </w:rPr>
            </w:pPr>
            <w:r>
              <w:rPr>
                <w:rFonts w:hint="eastAsia" w:ascii="宋体" w:hAnsi="宋体"/>
                <w:sz w:val="15"/>
                <w:szCs w:val="15"/>
              </w:rPr>
              <w:t>统计基础（选）</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r>
              <w:rPr>
                <w:rFonts w:ascii="宋体" w:hAnsi="宋体"/>
                <w:sz w:val="15"/>
                <w:szCs w:val="15"/>
              </w:rPr>
              <w:t>*</w:t>
            </w:r>
          </w:p>
        </w:tc>
        <w:tc>
          <w:tcPr>
            <w:tcW w:w="29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tLeas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color w:val="000000"/>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olor w:val="000000"/>
                <w:spacing w:val="-12"/>
                <w:sz w:val="15"/>
                <w:szCs w:val="15"/>
              </w:rPr>
            </w:pPr>
            <w:r>
              <w:rPr>
                <w:rFonts w:ascii="宋体" w:hAnsi="宋体"/>
                <w:color w:val="000000"/>
                <w:spacing w:val="-12"/>
                <w:sz w:val="15"/>
                <w:szCs w:val="15"/>
              </w:rPr>
              <w:t>14</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5"/>
                <w:szCs w:val="15"/>
              </w:rPr>
            </w:pPr>
            <w:r>
              <w:rPr>
                <w:rFonts w:ascii="宋体" w:hAnsi="宋体"/>
                <w:color w:val="000000"/>
                <w:sz w:val="15"/>
                <w:szCs w:val="15"/>
              </w:rPr>
              <w:t>105711002/05</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r>
              <w:rPr>
                <w:rFonts w:hint="eastAsia" w:ascii="宋体" w:hAnsi="宋体"/>
                <w:sz w:val="15"/>
                <w:szCs w:val="15"/>
              </w:rPr>
              <w:t>礼仪</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olor w:val="FF0000"/>
                <w:sz w:val="15"/>
                <w:szCs w:val="15"/>
              </w:rPr>
            </w:pP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color w:val="FF0000"/>
                <w:sz w:val="15"/>
                <w:szCs w:val="15"/>
              </w:rPr>
            </w:pPr>
            <w:r>
              <w:rPr>
                <w:rFonts w:hint="eastAsia" w:ascii="宋体" w:hAnsi="宋体"/>
                <w:color w:val="FF0000"/>
                <w:sz w:val="15"/>
                <w:szCs w:val="15"/>
              </w:rPr>
              <w:t>45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FF0000"/>
                <w:sz w:val="15"/>
                <w:szCs w:val="15"/>
              </w:rPr>
            </w:pPr>
            <w:r>
              <w:rPr>
                <w:rFonts w:hint="eastAsia" w:ascii="宋体" w:hAnsi="宋体"/>
                <w:color w:val="FF0000"/>
                <w:sz w:val="15"/>
                <w:szCs w:val="15"/>
              </w:rPr>
              <w:t>20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FF0000"/>
                <w:sz w:val="15"/>
                <w:szCs w:val="15"/>
              </w:rPr>
            </w:pPr>
            <w:r>
              <w:rPr>
                <w:rFonts w:hint="eastAsia" w:ascii="宋体" w:hAnsi="宋体"/>
                <w:color w:val="FF0000"/>
                <w:sz w:val="15"/>
                <w:szCs w:val="15"/>
              </w:rPr>
              <w:t>25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FF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FF0000"/>
                <w:sz w:val="15"/>
                <w:szCs w:val="15"/>
              </w:rPr>
            </w:pPr>
            <w:r>
              <w:rPr>
                <w:rFonts w:hint="eastAsia" w:ascii="宋体" w:hAnsi="宋体"/>
                <w:color w:val="FF0000"/>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r>
              <w:rPr>
                <w:rFonts w:ascii="宋体" w:hAnsi="宋体"/>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color w:val="000000"/>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olor w:val="000000"/>
                <w:spacing w:val="-12"/>
                <w:sz w:val="15"/>
                <w:szCs w:val="15"/>
              </w:rPr>
            </w:pPr>
            <w:r>
              <w:rPr>
                <w:rFonts w:ascii="宋体" w:hAnsi="宋体"/>
                <w:color w:val="000000"/>
                <w:spacing w:val="-12"/>
                <w:sz w:val="15"/>
                <w:szCs w:val="15"/>
              </w:rPr>
              <w:t>15</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ascii="宋体" w:hAnsi="宋体"/>
                <w:sz w:val="15"/>
                <w:szCs w:val="15"/>
              </w:rPr>
              <w:t>105511001</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计算机应用基础</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color w:val="000000"/>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color w:val="000000"/>
                <w:spacing w:val="-12"/>
                <w:sz w:val="15"/>
                <w:szCs w:val="15"/>
              </w:rPr>
            </w:pPr>
            <w:r>
              <w:rPr>
                <w:rFonts w:hint="eastAsia" w:ascii="宋体" w:hAnsi="宋体"/>
                <w:color w:val="000000"/>
                <w:spacing w:val="-12"/>
                <w:sz w:val="15"/>
                <w:szCs w:val="15"/>
              </w:rPr>
              <w:t>16</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ascii="宋体" w:hAnsi="宋体"/>
                <w:sz w:val="15"/>
                <w:szCs w:val="15"/>
              </w:rPr>
              <w:t>100011022</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军事理论</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36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ascii="宋体" w:hAnsi="宋体"/>
                <w:sz w:val="15"/>
                <w:szCs w:val="15"/>
              </w:rPr>
              <w:t>2+6H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color w:val="000000"/>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color w:val="000000"/>
                <w:spacing w:val="-12"/>
                <w:sz w:val="15"/>
                <w:szCs w:val="15"/>
              </w:rPr>
            </w:pPr>
            <w:r>
              <w:rPr>
                <w:rFonts w:hint="eastAsia" w:ascii="宋体" w:hAnsi="宋体"/>
                <w:color w:val="000000"/>
                <w:spacing w:val="-12"/>
                <w:sz w:val="15"/>
                <w:szCs w:val="15"/>
              </w:rPr>
              <w:t>17</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ascii="宋体" w:hAnsi="宋体"/>
                <w:sz w:val="15"/>
                <w:szCs w:val="15"/>
              </w:rPr>
              <w:t>100011026</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劳动教育</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color w:val="FF0000"/>
                <w:sz w:val="15"/>
                <w:szCs w:val="15"/>
              </w:rPr>
            </w:pPr>
            <w:r>
              <w:rPr>
                <w:rFonts w:hint="eastAsia" w:ascii="宋体" w:hAnsi="宋体"/>
                <w:color w:val="FF0000"/>
                <w:sz w:val="15"/>
                <w:szCs w:val="15"/>
              </w:rPr>
              <w:t xml:space="preserve">30H </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FF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color w:val="000000"/>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color w:val="FF0000"/>
                <w:spacing w:val="-12"/>
                <w:sz w:val="15"/>
                <w:szCs w:val="15"/>
              </w:rPr>
            </w:pPr>
            <w:r>
              <w:rPr>
                <w:rFonts w:hint="eastAsia" w:ascii="宋体" w:hAnsi="宋体"/>
                <w:color w:val="FF0000"/>
                <w:spacing w:val="-12"/>
                <w:sz w:val="15"/>
                <w:szCs w:val="15"/>
              </w:rPr>
              <w:t>18</w:t>
            </w:r>
          </w:p>
        </w:tc>
        <w:tc>
          <w:tcPr>
            <w:tcW w:w="9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FF0000"/>
                <w:sz w:val="15"/>
                <w:szCs w:val="15"/>
              </w:rPr>
            </w:pPr>
            <w:r>
              <w:rPr>
                <w:rFonts w:hint="eastAsia" w:ascii="宋体" w:hAnsi="宋体"/>
                <w:color w:val="FF0000"/>
                <w:sz w:val="15"/>
                <w:szCs w:val="15"/>
              </w:rPr>
              <w:t>100011029</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color w:val="FF0000"/>
                <w:sz w:val="15"/>
                <w:szCs w:val="15"/>
              </w:rPr>
            </w:pPr>
            <w:r>
              <w:rPr>
                <w:rFonts w:hint="eastAsia" w:ascii="宋体" w:hAnsi="宋体"/>
                <w:color w:val="FF0000"/>
                <w:sz w:val="15"/>
                <w:szCs w:val="15"/>
              </w:rPr>
              <w:t>党史</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hint="eastAsia" w:ascii="宋体" w:hAnsi="宋体"/>
                <w:color w:val="FF0000"/>
                <w:sz w:val="15"/>
                <w:szCs w:val="15"/>
              </w:rPr>
            </w:pPr>
            <w:r>
              <w:rPr>
                <w:rFonts w:hint="eastAsia" w:ascii="宋体" w:hAnsi="宋体"/>
                <w:color w:val="FF0000"/>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color w:val="FF0000"/>
                <w:sz w:val="15"/>
                <w:szCs w:val="15"/>
              </w:rPr>
            </w:pPr>
            <w:r>
              <w:rPr>
                <w:rFonts w:hint="eastAsia" w:ascii="宋体" w:hAnsi="宋体"/>
                <w:color w:val="FF0000"/>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color w:val="FF0000"/>
                <w:sz w:val="15"/>
                <w:szCs w:val="15"/>
              </w:rPr>
            </w:pPr>
            <w:r>
              <w:rPr>
                <w:rFonts w:hint="eastAsia" w:ascii="宋体" w:hAnsi="宋体"/>
                <w:color w:val="FF0000"/>
                <w:sz w:val="15"/>
                <w:szCs w:val="15"/>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color w:val="FF0000"/>
                <w:sz w:val="15"/>
                <w:szCs w:val="15"/>
              </w:rPr>
            </w:pPr>
            <w:r>
              <w:rPr>
                <w:rFonts w:hint="eastAsia" w:ascii="宋体" w:hAnsi="宋体"/>
                <w:color w:val="FF0000"/>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FF0000"/>
                <w:sz w:val="15"/>
                <w:szCs w:val="15"/>
              </w:rPr>
            </w:pPr>
            <w:r>
              <w:rPr>
                <w:rFonts w:hint="eastAsia" w:ascii="宋体" w:hAnsi="宋体"/>
                <w:color w:val="FF0000"/>
                <w:sz w:val="15"/>
                <w:szCs w:val="15"/>
              </w:rPr>
              <w:t>16H</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color w:val="FF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olor w:val="FF0000"/>
                <w:sz w:val="15"/>
                <w:szCs w:val="15"/>
              </w:rPr>
            </w:pPr>
            <w:r>
              <w:rPr>
                <w:rFonts w:ascii="宋体" w:hAnsi="宋体"/>
                <w:color w:val="FF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jc w:val="center"/>
        </w:trPr>
        <w:tc>
          <w:tcPr>
            <w:tcW w:w="391" w:type="dxa"/>
            <w:vMerge w:val="continue"/>
            <w:tcBorders>
              <w:left w:val="single" w:color="auto" w:sz="4" w:space="0"/>
              <w:bottom w:val="single" w:color="auto" w:sz="4" w:space="0"/>
              <w:right w:val="single" w:color="auto" w:sz="4" w:space="0"/>
            </w:tcBorders>
          </w:tcPr>
          <w:p>
            <w:pPr>
              <w:snapToGrid w:val="0"/>
              <w:spacing w:line="240" w:lineRule="exact"/>
              <w:jc w:val="center"/>
              <w:rPr>
                <w:rFonts w:ascii="宋体" w:hAnsi="宋体"/>
                <w:sz w:val="15"/>
                <w:szCs w:val="15"/>
              </w:rPr>
            </w:pPr>
          </w:p>
        </w:tc>
        <w:tc>
          <w:tcPr>
            <w:tcW w:w="267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sz w:val="15"/>
                <w:szCs w:val="15"/>
              </w:rPr>
            </w:pPr>
            <w:r>
              <w:rPr>
                <w:rFonts w:hint="eastAsia" w:ascii="宋体" w:hAnsi="宋体"/>
                <w:b/>
                <w:sz w:val="15"/>
                <w:szCs w:val="15"/>
              </w:rPr>
              <w:t>小      计</w:t>
            </w:r>
          </w:p>
          <w:p>
            <w:pPr>
              <w:snapToGrid w:val="0"/>
              <w:spacing w:line="240" w:lineRule="exact"/>
              <w:jc w:val="center"/>
              <w:rPr>
                <w:rFonts w:hint="eastAsia" w:ascii="宋体" w:hAnsi="宋体"/>
                <w:b/>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180" w:lineRule="exact"/>
              <w:ind w:left="-57" w:right="-57"/>
              <w:jc w:val="center"/>
              <w:rPr>
                <w:rFonts w:ascii="宋体" w:hAnsi="宋体"/>
                <w:b/>
                <w:spacing w:val="-20"/>
                <w:sz w:val="15"/>
                <w:szCs w:val="15"/>
              </w:rPr>
            </w:pPr>
            <w:r>
              <w:rPr>
                <w:rFonts w:ascii="宋体" w:hAnsi="宋体"/>
                <w:b/>
                <w:spacing w:val="-20"/>
                <w:sz w:val="15"/>
                <w:szCs w:val="15"/>
              </w:rPr>
              <w:t>50.5</w:t>
            </w:r>
          </w:p>
        </w:tc>
        <w:tc>
          <w:tcPr>
            <w:tcW w:w="567" w:type="dxa"/>
            <w:tcBorders>
              <w:top w:val="single" w:color="auto" w:sz="4" w:space="0"/>
              <w:left w:val="single" w:color="auto" w:sz="4" w:space="0"/>
              <w:bottom w:val="single" w:color="auto" w:sz="4" w:space="0"/>
              <w:right w:val="single" w:color="auto" w:sz="4" w:space="0"/>
            </w:tcBorders>
            <w:vAlign w:val="center"/>
          </w:tcPr>
          <w:p>
            <w:pPr>
              <w:spacing w:line="180" w:lineRule="exact"/>
              <w:ind w:left="-57" w:right="-57"/>
              <w:jc w:val="center"/>
              <w:rPr>
                <w:rFonts w:ascii="宋体" w:hAnsi="宋体"/>
                <w:b/>
                <w:spacing w:val="-20"/>
                <w:sz w:val="15"/>
                <w:szCs w:val="15"/>
              </w:rPr>
            </w:pPr>
            <w:r>
              <w:rPr>
                <w:rFonts w:hint="eastAsia" w:ascii="宋体" w:hAnsi="宋体"/>
                <w:b/>
                <w:spacing w:val="-20"/>
                <w:sz w:val="15"/>
                <w:szCs w:val="15"/>
              </w:rPr>
              <w:t>808</w:t>
            </w:r>
          </w:p>
        </w:tc>
        <w:tc>
          <w:tcPr>
            <w:tcW w:w="567" w:type="dxa"/>
            <w:tcBorders>
              <w:top w:val="single" w:color="auto" w:sz="4" w:space="0"/>
              <w:left w:val="single" w:color="auto" w:sz="4" w:space="0"/>
              <w:bottom w:val="single" w:color="auto" w:sz="4" w:space="0"/>
              <w:right w:val="single" w:color="auto" w:sz="4" w:space="0"/>
            </w:tcBorders>
            <w:vAlign w:val="center"/>
          </w:tcPr>
          <w:p>
            <w:pPr>
              <w:spacing w:line="180" w:lineRule="exact"/>
              <w:ind w:left="-57" w:right="-57"/>
              <w:jc w:val="center"/>
              <w:rPr>
                <w:rFonts w:hint="eastAsia" w:ascii="宋体" w:hAnsi="宋体"/>
                <w:b/>
                <w:spacing w:val="-20"/>
                <w:sz w:val="15"/>
                <w:szCs w:val="15"/>
              </w:rPr>
            </w:pPr>
            <w:r>
              <w:rPr>
                <w:rFonts w:hint="eastAsia" w:ascii="宋体" w:hAnsi="宋体"/>
                <w:b/>
                <w:spacing w:val="-20"/>
                <w:sz w:val="15"/>
                <w:szCs w:val="15"/>
              </w:rPr>
              <w:t>467</w:t>
            </w:r>
          </w:p>
        </w:tc>
        <w:tc>
          <w:tcPr>
            <w:tcW w:w="567" w:type="dxa"/>
            <w:tcBorders>
              <w:top w:val="single" w:color="auto" w:sz="4" w:space="0"/>
              <w:left w:val="single" w:color="auto" w:sz="4" w:space="0"/>
              <w:bottom w:val="single" w:color="auto" w:sz="4" w:space="0"/>
              <w:right w:val="single" w:color="auto" w:sz="4" w:space="0"/>
            </w:tcBorders>
            <w:vAlign w:val="center"/>
          </w:tcPr>
          <w:p>
            <w:pPr>
              <w:spacing w:line="180" w:lineRule="exact"/>
              <w:ind w:left="-57" w:right="-57"/>
              <w:jc w:val="center"/>
              <w:rPr>
                <w:rFonts w:ascii="宋体" w:hAnsi="宋体"/>
                <w:b/>
                <w:spacing w:val="-20"/>
                <w:sz w:val="15"/>
                <w:szCs w:val="15"/>
              </w:rPr>
            </w:pPr>
            <w:r>
              <w:rPr>
                <w:rFonts w:hint="eastAsia" w:ascii="宋体" w:hAnsi="宋体"/>
                <w:b/>
                <w:spacing w:val="-20"/>
                <w:sz w:val="15"/>
                <w:szCs w:val="15"/>
              </w:rPr>
              <w:t>341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pacing w:val="-20"/>
                <w:sz w:val="15"/>
                <w:szCs w:val="15"/>
              </w:rPr>
            </w:pPr>
            <w:r>
              <w:rPr>
                <w:rFonts w:hint="eastAsia" w:ascii="宋体" w:hAnsi="宋体"/>
                <w:b/>
                <w:spacing w:val="-20"/>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pacing w:val="-20"/>
                <w:sz w:val="15"/>
                <w:szCs w:val="15"/>
              </w:rPr>
            </w:pPr>
            <w:r>
              <w:rPr>
                <w:rFonts w:hint="eastAsia" w:ascii="宋体" w:hAnsi="宋体"/>
                <w:b/>
                <w:spacing w:val="-20"/>
                <w:sz w:val="15"/>
                <w:szCs w:val="15"/>
              </w:rPr>
              <w:t>14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b/>
                <w:spacing w:val="-20"/>
                <w:sz w:val="15"/>
                <w:szCs w:val="15"/>
              </w:rPr>
            </w:pPr>
            <w:r>
              <w:rPr>
                <w:rFonts w:hint="eastAsia" w:ascii="宋体" w:hAnsi="宋体"/>
                <w:b/>
                <w:spacing w:val="-20"/>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hint="eastAsia" w:ascii="宋体" w:hAnsi="宋体"/>
                <w:b/>
                <w:spacing w:val="-20"/>
                <w:sz w:val="15"/>
                <w:szCs w:val="15"/>
              </w:rPr>
            </w:pPr>
            <w:r>
              <w:rPr>
                <w:rFonts w:hint="eastAsia" w:ascii="宋体" w:hAnsi="宋体"/>
                <w:b/>
                <w:spacing w:val="-20"/>
                <w:sz w:val="15"/>
                <w:szCs w:val="15"/>
              </w:rPr>
              <w:t>6</w:t>
            </w:r>
          </w:p>
        </w:tc>
        <w:tc>
          <w:tcPr>
            <w:tcW w:w="56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宋体" w:hAnsi="宋体"/>
                <w:spacing w:val="-20"/>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jc w:val="center"/>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sz w:val="15"/>
                <w:szCs w:val="15"/>
              </w:rPr>
            </w:pPr>
            <w:r>
              <w:rPr>
                <w:rFonts w:hint="eastAsia" w:ascii="宋体" w:hAnsi="宋体"/>
                <w:sz w:val="15"/>
                <w:szCs w:val="15"/>
              </w:rPr>
              <w:t>职业素质</w:t>
            </w: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sz w:val="15"/>
                <w:szCs w:val="15"/>
              </w:rPr>
            </w:pPr>
            <w:r>
              <w:rPr>
                <w:rFonts w:hint="eastAsia" w:ascii="宋体" w:hAnsi="宋体"/>
                <w:sz w:val="15"/>
                <w:szCs w:val="15"/>
              </w:rPr>
              <w:t>1</w:t>
            </w:r>
            <w:r>
              <w:rPr>
                <w:rFonts w:ascii="宋体" w:hAnsi="宋体"/>
                <w:sz w:val="15"/>
                <w:szCs w:val="15"/>
              </w:rPr>
              <w:t>9</w:t>
            </w:r>
          </w:p>
        </w:tc>
        <w:tc>
          <w:tcPr>
            <w:tcW w:w="96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5"/>
                <w:szCs w:val="15"/>
                <w:lang w:val="en-US" w:eastAsia="zh-CN"/>
              </w:rPr>
            </w:pPr>
            <w:r>
              <w:rPr>
                <w:rFonts w:hint="eastAsia" w:ascii="宋体" w:hAnsi="宋体"/>
                <w:sz w:val="15"/>
                <w:szCs w:val="15"/>
                <w:lang w:val="en-US" w:eastAsia="zh-CN"/>
              </w:rPr>
              <w:t>510022042</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公司理财（选）</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sz w:val="15"/>
                <w:szCs w:val="15"/>
              </w:rPr>
            </w:pPr>
            <w:r>
              <w:rPr>
                <w:rFonts w:hint="eastAsia" w:ascii="宋体" w:hAnsi="宋体"/>
                <w:sz w:val="15"/>
                <w:szCs w:val="15"/>
              </w:rPr>
              <w:t>20</w:t>
            </w:r>
          </w:p>
        </w:tc>
        <w:tc>
          <w:tcPr>
            <w:tcW w:w="966" w:type="dxa"/>
            <w:tcBorders>
              <w:left w:val="single" w:color="auto" w:sz="4" w:space="0"/>
              <w:bottom w:val="single" w:color="auto" w:sz="4" w:space="0"/>
              <w:right w:val="single" w:color="auto" w:sz="4" w:space="0"/>
            </w:tcBorders>
            <w:vAlign w:val="center"/>
          </w:tcPr>
          <w:p>
            <w:pPr>
              <w:rPr>
                <w:rFonts w:hint="eastAsia" w:ascii="宋体" w:hAnsi="宋体"/>
                <w:sz w:val="15"/>
                <w:szCs w:val="15"/>
                <w:lang w:val="en-US" w:eastAsia="zh-CN"/>
              </w:rPr>
            </w:pPr>
            <w:r>
              <w:rPr>
                <w:rFonts w:hint="eastAsia" w:ascii="宋体" w:hAnsi="宋体"/>
                <w:sz w:val="15"/>
                <w:szCs w:val="15"/>
                <w:lang w:val="en-US" w:eastAsia="zh-CN"/>
              </w:rPr>
              <w:t>510011010</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color w:val="000000"/>
                <w:sz w:val="15"/>
                <w:szCs w:val="15"/>
              </w:rPr>
            </w:pPr>
            <w:r>
              <w:rPr>
                <w:rFonts w:hint="eastAsia" w:ascii="宋体" w:hAnsi="宋体"/>
                <w:color w:val="000000"/>
                <w:sz w:val="15"/>
                <w:szCs w:val="15"/>
              </w:rPr>
              <w:t>经济学原理</w:t>
            </w:r>
            <w:r>
              <w:rPr>
                <w:rFonts w:hint="eastAsia" w:ascii="宋体" w:hAnsi="宋体"/>
                <w:sz w:val="15"/>
                <w:szCs w:val="15"/>
              </w:rPr>
              <w:t>（选）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sz w:val="15"/>
                <w:szCs w:val="15"/>
              </w:rPr>
            </w:pPr>
            <w:r>
              <w:rPr>
                <w:rFonts w:ascii="宋体" w:hAnsi="宋体"/>
                <w:sz w:val="15"/>
                <w:szCs w:val="15"/>
              </w:rPr>
              <w:t>21</w:t>
            </w:r>
          </w:p>
        </w:tc>
        <w:tc>
          <w:tcPr>
            <w:tcW w:w="966" w:type="dxa"/>
            <w:tcBorders>
              <w:left w:val="single" w:color="auto" w:sz="4" w:space="0"/>
              <w:bottom w:val="single" w:color="auto" w:sz="4" w:space="0"/>
              <w:right w:val="single" w:color="auto" w:sz="4" w:space="0"/>
            </w:tcBorders>
            <w:vAlign w:val="center"/>
          </w:tcPr>
          <w:p>
            <w:pPr>
              <w:rPr>
                <w:rFonts w:hint="eastAsia" w:ascii="宋体" w:hAnsi="宋体"/>
                <w:sz w:val="15"/>
                <w:szCs w:val="15"/>
                <w:lang w:val="en-US" w:eastAsia="zh-CN"/>
              </w:rPr>
            </w:pPr>
            <w:r>
              <w:rPr>
                <w:rFonts w:hint="eastAsia" w:ascii="宋体" w:hAnsi="宋体"/>
                <w:sz w:val="15"/>
                <w:szCs w:val="15"/>
                <w:lang w:val="en-US" w:eastAsia="zh-CN"/>
              </w:rPr>
              <w:t>510022043</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经济数学基础（选）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sz w:val="15"/>
                <w:szCs w:val="15"/>
              </w:rPr>
            </w:pPr>
            <w:r>
              <w:rPr>
                <w:rFonts w:hint="eastAsia" w:ascii="宋体" w:hAnsi="宋体"/>
                <w:sz w:val="15"/>
                <w:szCs w:val="15"/>
              </w:rPr>
              <w:t>2</w:t>
            </w:r>
            <w:r>
              <w:rPr>
                <w:rFonts w:ascii="宋体" w:hAnsi="宋体"/>
                <w:sz w:val="15"/>
                <w:szCs w:val="15"/>
              </w:rPr>
              <w:t>2</w:t>
            </w:r>
          </w:p>
        </w:tc>
        <w:tc>
          <w:tcPr>
            <w:tcW w:w="966" w:type="dxa"/>
            <w:tcBorders>
              <w:left w:val="single" w:color="auto" w:sz="4" w:space="0"/>
              <w:bottom w:val="single" w:color="auto" w:sz="4" w:space="0"/>
              <w:right w:val="single" w:color="auto" w:sz="4" w:space="0"/>
            </w:tcBorders>
            <w:vAlign w:val="center"/>
          </w:tcPr>
          <w:p>
            <w:pPr>
              <w:rPr>
                <w:rFonts w:hint="eastAsia" w:ascii="宋体" w:hAnsi="宋体"/>
                <w:sz w:val="15"/>
                <w:szCs w:val="15"/>
                <w:lang w:val="en-US" w:eastAsia="zh-CN"/>
              </w:rPr>
            </w:pPr>
            <w:r>
              <w:rPr>
                <w:rFonts w:hint="eastAsia" w:ascii="宋体" w:hAnsi="宋体"/>
                <w:sz w:val="15"/>
                <w:szCs w:val="15"/>
                <w:lang w:val="en-US" w:eastAsia="zh-CN"/>
              </w:rPr>
              <w:t>510022044</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金融服务营销（选）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23</w:t>
            </w:r>
          </w:p>
        </w:tc>
        <w:tc>
          <w:tcPr>
            <w:tcW w:w="966" w:type="dxa"/>
            <w:tcBorders>
              <w:left w:val="single" w:color="auto" w:sz="4" w:space="0"/>
              <w:bottom w:val="single" w:color="auto" w:sz="4" w:space="0"/>
              <w:right w:val="single" w:color="auto" w:sz="4" w:space="0"/>
            </w:tcBorders>
            <w:vAlign w:val="center"/>
          </w:tcPr>
          <w:p>
            <w:pPr>
              <w:rPr>
                <w:rFonts w:hint="eastAsia" w:ascii="宋体" w:hAnsi="宋体"/>
                <w:sz w:val="15"/>
                <w:szCs w:val="15"/>
                <w:lang w:val="en-US" w:eastAsia="zh-CN"/>
              </w:rPr>
            </w:pPr>
            <w:r>
              <w:rPr>
                <w:rFonts w:hint="eastAsia" w:ascii="宋体" w:hAnsi="宋体"/>
                <w:sz w:val="15"/>
                <w:szCs w:val="15"/>
                <w:lang w:val="en-US" w:eastAsia="zh-CN"/>
              </w:rPr>
              <w:t>510022045</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金融服务礼仪（选）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24</w:t>
            </w:r>
          </w:p>
        </w:tc>
        <w:tc>
          <w:tcPr>
            <w:tcW w:w="966" w:type="dxa"/>
            <w:tcBorders>
              <w:left w:val="single" w:color="auto" w:sz="4" w:space="0"/>
              <w:bottom w:val="single" w:color="auto" w:sz="4" w:space="0"/>
              <w:right w:val="single" w:color="auto" w:sz="4" w:space="0"/>
            </w:tcBorders>
            <w:vAlign w:val="center"/>
          </w:tcPr>
          <w:p>
            <w:pPr>
              <w:rPr>
                <w:rFonts w:hint="eastAsia" w:ascii="宋体" w:hAnsi="宋体"/>
                <w:sz w:val="15"/>
                <w:szCs w:val="15"/>
                <w:lang w:val="en-US" w:eastAsia="zh-CN"/>
              </w:rPr>
            </w:pPr>
            <w:r>
              <w:rPr>
                <w:rFonts w:hint="eastAsia" w:ascii="宋体" w:hAnsi="宋体"/>
                <w:sz w:val="15"/>
                <w:szCs w:val="15"/>
                <w:lang w:val="en-US" w:eastAsia="zh-CN"/>
              </w:rPr>
              <w:t>510011009</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客户关系管理（选）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24</w:t>
            </w:r>
          </w:p>
        </w:tc>
        <w:tc>
          <w:tcPr>
            <w:tcW w:w="966" w:type="dxa"/>
            <w:tcBorders>
              <w:left w:val="single" w:color="auto" w:sz="4" w:space="0"/>
              <w:bottom w:val="single" w:color="auto" w:sz="4" w:space="0"/>
              <w:right w:val="single" w:color="auto" w:sz="4" w:space="0"/>
            </w:tcBorders>
            <w:vAlign w:val="center"/>
          </w:tcPr>
          <w:p>
            <w:pPr>
              <w:rPr>
                <w:rFonts w:hint="eastAsia" w:ascii="宋体" w:hAnsi="宋体"/>
                <w:sz w:val="15"/>
                <w:szCs w:val="15"/>
                <w:lang w:val="en-US" w:eastAsia="zh-CN"/>
              </w:rPr>
            </w:pPr>
            <w:r>
              <w:rPr>
                <w:rFonts w:hint="eastAsia" w:ascii="宋体" w:hAnsi="宋体"/>
                <w:sz w:val="15"/>
                <w:szCs w:val="15"/>
                <w:lang w:val="en-US" w:eastAsia="zh-CN"/>
              </w:rPr>
              <w:t>510022036</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大数据分析（选）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25</w:t>
            </w:r>
          </w:p>
        </w:tc>
        <w:tc>
          <w:tcPr>
            <w:tcW w:w="966" w:type="dxa"/>
            <w:tcBorders>
              <w:left w:val="single" w:color="auto" w:sz="4" w:space="0"/>
              <w:bottom w:val="single" w:color="auto" w:sz="4" w:space="0"/>
              <w:right w:val="single" w:color="auto" w:sz="4" w:space="0"/>
            </w:tcBorders>
            <w:vAlign w:val="center"/>
          </w:tcPr>
          <w:p>
            <w:pPr>
              <w:rPr>
                <w:rFonts w:hint="eastAsia" w:ascii="宋体" w:hAnsi="宋体"/>
                <w:sz w:val="15"/>
                <w:szCs w:val="15"/>
                <w:lang w:val="en-US" w:eastAsia="zh-CN"/>
              </w:rPr>
            </w:pPr>
            <w:r>
              <w:rPr>
                <w:rFonts w:hint="eastAsia" w:ascii="宋体" w:hAnsi="宋体"/>
                <w:sz w:val="15"/>
                <w:szCs w:val="15"/>
                <w:lang w:val="en-US" w:eastAsia="zh-CN"/>
              </w:rPr>
              <w:t>510022047</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新媒体营销（选）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2679" w:type="dxa"/>
            <w:gridSpan w:val="4"/>
            <w:tcBorders>
              <w:left w:val="single" w:color="auto" w:sz="4" w:space="0"/>
              <w:bottom w:val="single" w:color="auto" w:sz="4" w:space="0"/>
              <w:right w:val="single" w:color="auto" w:sz="4" w:space="0"/>
            </w:tcBorders>
            <w:vAlign w:val="center"/>
          </w:tcPr>
          <w:p>
            <w:pPr>
              <w:snapToGrid w:val="0"/>
              <w:spacing w:line="240" w:lineRule="exact"/>
              <w:rPr>
                <w:rFonts w:ascii="宋体" w:hAnsi="宋体"/>
                <w:b/>
                <w:sz w:val="15"/>
                <w:szCs w:val="15"/>
              </w:rPr>
            </w:pPr>
            <w:r>
              <w:rPr>
                <w:rFonts w:ascii="宋体" w:hAnsi="宋体"/>
                <w:b/>
                <w:sz w:val="15"/>
                <w:szCs w:val="15"/>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15"/>
                <w:szCs w:val="15"/>
              </w:rPr>
            </w:pPr>
            <w:r>
              <w:rPr>
                <w:rFonts w:hint="eastAsia" w:ascii="宋体" w:hAnsi="宋体"/>
                <w:b/>
                <w:sz w:val="15"/>
                <w:szCs w:val="15"/>
              </w:rPr>
              <w:t>24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15"/>
                <w:szCs w:val="15"/>
              </w:rPr>
            </w:pPr>
            <w:r>
              <w:rPr>
                <w:rFonts w:hint="eastAsia" w:ascii="宋体" w:hAnsi="宋体"/>
                <w:b/>
                <w:sz w:val="15"/>
                <w:szCs w:val="15"/>
              </w:rPr>
              <w:t>360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15"/>
                <w:szCs w:val="15"/>
              </w:rPr>
            </w:pPr>
            <w:r>
              <w:rPr>
                <w:rFonts w:hint="eastAsia" w:ascii="宋体" w:hAnsi="宋体"/>
                <w:b/>
                <w:sz w:val="15"/>
                <w:szCs w:val="15"/>
              </w:rPr>
              <w:t>360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15"/>
                <w:szCs w:val="15"/>
              </w:rPr>
            </w:pPr>
            <w:r>
              <w:rPr>
                <w:rFonts w:hint="eastAsia" w:ascii="宋体" w:hAnsi="宋体"/>
                <w:b/>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b/>
                <w:sz w:val="15"/>
                <w:szCs w:val="15"/>
              </w:rPr>
            </w:pPr>
            <w:r>
              <w:rPr>
                <w:rFonts w:hint="eastAsia" w:ascii="宋体" w:hAnsi="宋体"/>
                <w:b/>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b/>
                <w:sz w:val="15"/>
                <w:szCs w:val="15"/>
              </w:rPr>
            </w:pPr>
            <w:r>
              <w:rPr>
                <w:rFonts w:hint="eastAsia" w:ascii="宋体" w:hAnsi="宋体"/>
                <w:b/>
                <w:sz w:val="15"/>
                <w:szCs w:val="15"/>
              </w:rPr>
              <w:t>8</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b/>
                <w:sz w:val="15"/>
                <w:szCs w:val="15"/>
              </w:rPr>
            </w:pPr>
            <w:r>
              <w:rPr>
                <w:rFonts w:hint="eastAsia" w:ascii="宋体" w:hAnsi="宋体"/>
                <w:b/>
                <w:sz w:val="15"/>
                <w:szCs w:val="15"/>
              </w:rPr>
              <w:t>8</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b/>
                <w:sz w:val="15"/>
                <w:szCs w:val="15"/>
              </w:rPr>
            </w:pPr>
            <w:r>
              <w:rPr>
                <w:rFonts w:hint="eastAsia" w:ascii="宋体" w:hAnsi="宋体"/>
                <w:b/>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b/>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bookmarkStart w:id="157" w:name="_GoBack" w:colFirst="2" w:colLast="2"/>
            <w:r>
              <w:rPr>
                <w:rFonts w:hint="eastAsia" w:ascii="宋体" w:hAnsi="宋体"/>
                <w:sz w:val="15"/>
                <w:szCs w:val="15"/>
              </w:rPr>
              <w:t>职业技能</w:t>
            </w: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sz w:val="15"/>
                <w:szCs w:val="15"/>
              </w:rPr>
            </w:pPr>
            <w:r>
              <w:rPr>
                <w:rFonts w:hint="eastAsia" w:ascii="宋体" w:hAnsi="宋体"/>
                <w:sz w:val="15"/>
                <w:szCs w:val="15"/>
              </w:rPr>
              <w:t>26</w:t>
            </w:r>
          </w:p>
        </w:tc>
        <w:tc>
          <w:tcPr>
            <w:tcW w:w="966" w:type="dxa"/>
            <w:tcBorders>
              <w:left w:val="single" w:color="auto" w:sz="4" w:space="0"/>
              <w:bottom w:val="single" w:color="auto" w:sz="4" w:space="0"/>
              <w:right w:val="single" w:color="auto" w:sz="4" w:space="0"/>
            </w:tcBorders>
            <w:vAlign w:val="center"/>
          </w:tcPr>
          <w:p>
            <w:pPr>
              <w:rPr>
                <w:rFonts w:hint="eastAsia" w:ascii="宋体" w:hAnsi="宋体"/>
                <w:sz w:val="15"/>
                <w:szCs w:val="15"/>
                <w:lang w:val="en-US" w:eastAsia="zh-CN"/>
              </w:rPr>
            </w:pPr>
            <w:r>
              <w:rPr>
                <w:rFonts w:hint="eastAsia" w:ascii="宋体" w:hAnsi="宋体"/>
                <w:sz w:val="15"/>
                <w:szCs w:val="15"/>
                <w:lang w:val="en-US" w:eastAsia="zh-CN"/>
              </w:rPr>
              <w:t>510011015</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金融科技概论（选）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7</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2</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sz w:val="15"/>
                <w:szCs w:val="15"/>
              </w:rPr>
            </w:pPr>
            <w:r>
              <w:rPr>
                <w:rFonts w:hint="eastAsia" w:ascii="宋体" w:hAnsi="宋体"/>
                <w:sz w:val="15"/>
                <w:szCs w:val="15"/>
              </w:rPr>
              <w:t>27</w:t>
            </w:r>
          </w:p>
        </w:tc>
        <w:tc>
          <w:tcPr>
            <w:tcW w:w="966" w:type="dxa"/>
            <w:tcBorders>
              <w:left w:val="single" w:color="auto" w:sz="4" w:space="0"/>
              <w:bottom w:val="single" w:color="auto" w:sz="4" w:space="0"/>
              <w:right w:val="single" w:color="auto" w:sz="4" w:space="0"/>
            </w:tcBorders>
            <w:vAlign w:val="center"/>
          </w:tcPr>
          <w:p>
            <w:pPr>
              <w:rPr>
                <w:rFonts w:hint="eastAsia" w:ascii="宋体" w:hAnsi="宋体"/>
                <w:sz w:val="15"/>
                <w:szCs w:val="15"/>
                <w:lang w:val="en-US" w:eastAsia="zh-CN"/>
              </w:rPr>
            </w:pPr>
            <w:r>
              <w:rPr>
                <w:rFonts w:hint="eastAsia" w:ascii="宋体" w:hAnsi="宋体"/>
                <w:sz w:val="15"/>
                <w:szCs w:val="15"/>
                <w:lang w:val="en-US" w:eastAsia="zh-CN"/>
              </w:rPr>
              <w:t>520011032</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互联网金融营销（选）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7</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2</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r>
      <w:bookmarkEnd w:id="157"/>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sz w:val="15"/>
                <w:szCs w:val="15"/>
              </w:rPr>
            </w:pPr>
            <w:r>
              <w:rPr>
                <w:rFonts w:hint="eastAsia" w:ascii="宋体" w:hAnsi="宋体"/>
                <w:sz w:val="15"/>
                <w:szCs w:val="15"/>
              </w:rPr>
              <w:t>28</w:t>
            </w:r>
          </w:p>
        </w:tc>
        <w:tc>
          <w:tcPr>
            <w:tcW w:w="966" w:type="dxa"/>
            <w:tcBorders>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5</w:t>
            </w:r>
            <w:r>
              <w:rPr>
                <w:rFonts w:ascii="宋体" w:hAnsi="宋体"/>
                <w:sz w:val="15"/>
                <w:szCs w:val="15"/>
              </w:rPr>
              <w:t>20011033</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金融市场学（选）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7</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2</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sz w:val="15"/>
                <w:szCs w:val="15"/>
              </w:rPr>
            </w:pPr>
            <w:r>
              <w:rPr>
                <w:rFonts w:hint="eastAsia" w:ascii="宋体" w:hAnsi="宋体"/>
                <w:sz w:val="15"/>
                <w:szCs w:val="15"/>
              </w:rPr>
              <w:t>29</w:t>
            </w:r>
          </w:p>
        </w:tc>
        <w:tc>
          <w:tcPr>
            <w:tcW w:w="966" w:type="dxa"/>
            <w:tcBorders>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5</w:t>
            </w:r>
            <w:r>
              <w:rPr>
                <w:rFonts w:ascii="宋体" w:hAnsi="宋体"/>
                <w:sz w:val="15"/>
                <w:szCs w:val="15"/>
              </w:rPr>
              <w:t>20011034</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证券投资理论与实务（选）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5</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4</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30</w:t>
            </w:r>
          </w:p>
        </w:tc>
        <w:tc>
          <w:tcPr>
            <w:tcW w:w="966" w:type="dxa"/>
            <w:tcBorders>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5</w:t>
            </w:r>
            <w:r>
              <w:rPr>
                <w:rFonts w:ascii="宋体" w:hAnsi="宋体"/>
                <w:sz w:val="15"/>
                <w:szCs w:val="15"/>
              </w:rPr>
              <w:t>20011035</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金融法律法规与风险管理（选）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7</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2</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31</w:t>
            </w:r>
          </w:p>
        </w:tc>
        <w:tc>
          <w:tcPr>
            <w:tcW w:w="966" w:type="dxa"/>
            <w:tcBorders>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5</w:t>
            </w:r>
            <w:r>
              <w:rPr>
                <w:rFonts w:ascii="宋体" w:hAnsi="宋体"/>
                <w:sz w:val="15"/>
                <w:szCs w:val="15"/>
              </w:rPr>
              <w:t>20011036</w:t>
            </w:r>
          </w:p>
        </w:tc>
        <w:tc>
          <w:tcPr>
            <w:tcW w:w="1302" w:type="dxa"/>
            <w:gridSpan w:val="2"/>
            <w:tcBorders>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征信技术与实务（选）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7</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2</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sz w:val="15"/>
                <w:szCs w:val="15"/>
              </w:rPr>
            </w:pP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ascii="宋体" w:hAnsi="宋体"/>
                <w:color w:val="000000"/>
                <w:sz w:val="15"/>
                <w:szCs w:val="15"/>
              </w:rPr>
              <w:t>*</w:t>
            </w: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7" w:hRule="atLeast"/>
          <w:jc w:val="center"/>
        </w:trPr>
        <w:tc>
          <w:tcPr>
            <w:tcW w:w="391"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267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sz w:val="15"/>
                <w:szCs w:val="15"/>
              </w:rPr>
            </w:pPr>
            <w:r>
              <w:rPr>
                <w:rFonts w:hint="eastAsia" w:ascii="宋体" w:hAnsi="宋体"/>
                <w:b/>
                <w:sz w:val="15"/>
                <w:szCs w:val="15"/>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15"/>
                <w:szCs w:val="15"/>
              </w:rPr>
            </w:pPr>
            <w:r>
              <w:rPr>
                <w:rFonts w:hint="eastAsia" w:ascii="宋体" w:hAnsi="宋体"/>
                <w:b/>
                <w:sz w:val="15"/>
                <w:szCs w:val="15"/>
              </w:rPr>
              <w:t>36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15"/>
                <w:szCs w:val="15"/>
              </w:rPr>
            </w:pPr>
            <w:r>
              <w:rPr>
                <w:rFonts w:hint="eastAsia" w:ascii="宋体" w:hAnsi="宋体"/>
                <w:b/>
                <w:sz w:val="15"/>
                <w:szCs w:val="15"/>
              </w:rPr>
              <w:t>540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b/>
                <w:sz w:val="15"/>
                <w:szCs w:val="15"/>
              </w:rPr>
            </w:pPr>
            <w:r>
              <w:rPr>
                <w:rFonts w:hint="eastAsia" w:ascii="宋体" w:hAnsi="宋体"/>
                <w:b/>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b/>
                <w:sz w:val="15"/>
                <w:szCs w:val="15"/>
              </w:rPr>
            </w:pPr>
            <w:r>
              <w:rPr>
                <w:rFonts w:hint="eastAsia" w:ascii="宋体" w:hAnsi="宋体"/>
                <w:b/>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b/>
                <w:sz w:val="15"/>
                <w:szCs w:val="15"/>
              </w:rPr>
            </w:pPr>
            <w:r>
              <w:rPr>
                <w:rFonts w:hint="eastAsia" w:ascii="宋体" w:hAnsi="宋体"/>
                <w:b/>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b/>
                <w:sz w:val="15"/>
                <w:szCs w:val="15"/>
              </w:rPr>
            </w:pPr>
            <w:r>
              <w:rPr>
                <w:rFonts w:hint="eastAsia" w:ascii="宋体" w:hAnsi="宋体"/>
                <w:b/>
                <w:sz w:val="15"/>
                <w:szCs w:val="15"/>
              </w:rPr>
              <w:t>6</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b/>
                <w:sz w:val="15"/>
                <w:szCs w:val="15"/>
              </w:rPr>
            </w:pPr>
            <w:r>
              <w:rPr>
                <w:rFonts w:hint="eastAsia" w:ascii="宋体" w:hAnsi="宋体"/>
                <w:b/>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b/>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7" w:hRule="atLeast"/>
          <w:jc w:val="center"/>
        </w:trPr>
        <w:tc>
          <w:tcPr>
            <w:tcW w:w="3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职</w:t>
            </w:r>
          </w:p>
          <w:p>
            <w:pPr>
              <w:adjustRightInd w:val="0"/>
              <w:snapToGrid w:val="0"/>
              <w:spacing w:line="240" w:lineRule="exact"/>
              <w:jc w:val="center"/>
              <w:rPr>
                <w:rFonts w:ascii="宋体" w:hAnsi="宋体"/>
                <w:sz w:val="15"/>
                <w:szCs w:val="15"/>
              </w:rPr>
            </w:pPr>
            <w:r>
              <w:rPr>
                <w:rFonts w:hint="eastAsia" w:ascii="宋体" w:hAnsi="宋体"/>
                <w:sz w:val="15"/>
                <w:szCs w:val="15"/>
              </w:rPr>
              <w:t>业</w:t>
            </w:r>
          </w:p>
          <w:p>
            <w:pPr>
              <w:adjustRightInd w:val="0"/>
              <w:snapToGrid w:val="0"/>
              <w:spacing w:line="240" w:lineRule="exact"/>
              <w:jc w:val="center"/>
              <w:rPr>
                <w:rFonts w:ascii="宋体" w:hAnsi="宋体"/>
                <w:sz w:val="15"/>
                <w:szCs w:val="15"/>
              </w:rPr>
            </w:pPr>
            <w:r>
              <w:rPr>
                <w:rFonts w:hint="eastAsia" w:ascii="宋体" w:hAnsi="宋体"/>
                <w:sz w:val="15"/>
                <w:szCs w:val="15"/>
              </w:rPr>
              <w:t>拓</w:t>
            </w:r>
          </w:p>
          <w:p>
            <w:pPr>
              <w:adjustRightInd w:val="0"/>
              <w:snapToGrid w:val="0"/>
              <w:spacing w:line="240" w:lineRule="exact"/>
              <w:jc w:val="center"/>
              <w:rPr>
                <w:rFonts w:ascii="宋体" w:hAnsi="宋体"/>
                <w:sz w:val="15"/>
                <w:szCs w:val="15"/>
              </w:rPr>
            </w:pPr>
            <w:r>
              <w:rPr>
                <w:rFonts w:hint="eastAsia" w:ascii="宋体" w:hAnsi="宋体"/>
                <w:sz w:val="15"/>
                <w:szCs w:val="15"/>
              </w:rPr>
              <w:t>展</w:t>
            </w: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32</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cs="宋体"/>
                <w:sz w:val="15"/>
                <w:szCs w:val="15"/>
              </w:rPr>
              <w:t>9991100XX</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r>
              <w:rPr>
                <w:rFonts w:hint="eastAsia" w:ascii="宋体" w:hAnsi="宋体"/>
                <w:sz w:val="15"/>
                <w:szCs w:val="15"/>
              </w:rPr>
              <w:t>文化素质选修课（选）</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ascii="宋体" w:hAnsi="宋体"/>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1" w:hRule="atLeast"/>
          <w:jc w:val="center"/>
        </w:trPr>
        <w:tc>
          <w:tcPr>
            <w:tcW w:w="391"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2679" w:type="dxa"/>
            <w:gridSpan w:val="4"/>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sz w:val="15"/>
                <w:szCs w:val="15"/>
              </w:rPr>
            </w:pPr>
            <w:r>
              <w:rPr>
                <w:rFonts w:hint="eastAsia" w:ascii="宋体" w:hAnsi="宋体"/>
                <w:b/>
                <w:sz w:val="15"/>
                <w:szCs w:val="15"/>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spacing w:val="-20"/>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pacing w:val="-2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391" w:type="dxa"/>
            <w:vMerge w:val="restart"/>
            <w:tcBorders>
              <w:top w:val="single" w:color="auto" w:sz="4" w:space="0"/>
              <w:left w:val="single" w:color="auto" w:sz="4" w:space="0"/>
              <w:right w:val="single" w:color="auto" w:sz="4" w:space="0"/>
            </w:tcBorders>
            <w:vAlign w:val="center"/>
          </w:tcPr>
          <w:p>
            <w:pPr>
              <w:snapToGrid w:val="0"/>
              <w:spacing w:line="220" w:lineRule="exact"/>
              <w:jc w:val="center"/>
              <w:rPr>
                <w:rFonts w:ascii="宋体" w:hAnsi="宋体"/>
                <w:sz w:val="15"/>
                <w:szCs w:val="15"/>
              </w:rPr>
            </w:pPr>
            <w:r>
              <w:rPr>
                <w:rFonts w:hint="eastAsia" w:ascii="宋体" w:hAnsi="宋体"/>
                <w:sz w:val="15"/>
                <w:szCs w:val="15"/>
              </w:rPr>
              <w:t>课</w:t>
            </w:r>
          </w:p>
          <w:p>
            <w:pPr>
              <w:snapToGrid w:val="0"/>
              <w:spacing w:line="220" w:lineRule="exact"/>
              <w:jc w:val="center"/>
              <w:rPr>
                <w:rFonts w:ascii="宋体" w:hAnsi="宋体"/>
                <w:sz w:val="15"/>
                <w:szCs w:val="15"/>
              </w:rPr>
            </w:pPr>
            <w:r>
              <w:rPr>
                <w:rFonts w:hint="eastAsia" w:ascii="宋体" w:hAnsi="宋体"/>
                <w:sz w:val="15"/>
                <w:szCs w:val="15"/>
              </w:rPr>
              <w:t>程</w:t>
            </w:r>
          </w:p>
          <w:p>
            <w:pPr>
              <w:snapToGrid w:val="0"/>
              <w:spacing w:line="220" w:lineRule="exact"/>
              <w:jc w:val="center"/>
              <w:rPr>
                <w:rFonts w:ascii="宋体" w:hAnsi="宋体"/>
                <w:sz w:val="15"/>
                <w:szCs w:val="15"/>
              </w:rPr>
            </w:pPr>
            <w:r>
              <w:rPr>
                <w:rFonts w:hint="eastAsia" w:ascii="宋体" w:hAnsi="宋体"/>
                <w:sz w:val="15"/>
                <w:szCs w:val="15"/>
              </w:rPr>
              <w:t>阶</w:t>
            </w:r>
          </w:p>
          <w:p>
            <w:pPr>
              <w:snapToGrid w:val="0"/>
              <w:spacing w:line="220" w:lineRule="exact"/>
              <w:jc w:val="center"/>
              <w:rPr>
                <w:rFonts w:ascii="宋体" w:hAnsi="宋体"/>
                <w:sz w:val="15"/>
                <w:szCs w:val="15"/>
              </w:rPr>
            </w:pPr>
            <w:r>
              <w:rPr>
                <w:rFonts w:hint="eastAsia" w:ascii="宋体" w:hAnsi="宋体"/>
                <w:sz w:val="15"/>
                <w:szCs w:val="15"/>
              </w:rPr>
              <w:t>段</w:t>
            </w:r>
          </w:p>
          <w:p>
            <w:pPr>
              <w:snapToGrid w:val="0"/>
              <w:spacing w:line="220" w:lineRule="exact"/>
              <w:jc w:val="center"/>
              <w:rPr>
                <w:rFonts w:ascii="宋体" w:hAnsi="宋体"/>
                <w:sz w:val="15"/>
                <w:szCs w:val="15"/>
              </w:rPr>
            </w:pPr>
            <w:r>
              <w:rPr>
                <w:rFonts w:hint="eastAsia" w:ascii="宋体" w:hAnsi="宋体"/>
                <w:sz w:val="15"/>
                <w:szCs w:val="15"/>
              </w:rPr>
              <w:t>与</w:t>
            </w:r>
          </w:p>
          <w:p>
            <w:pPr>
              <w:snapToGrid w:val="0"/>
              <w:spacing w:line="220" w:lineRule="exact"/>
              <w:jc w:val="center"/>
              <w:rPr>
                <w:rFonts w:ascii="宋体" w:hAnsi="宋体"/>
                <w:sz w:val="15"/>
                <w:szCs w:val="15"/>
              </w:rPr>
            </w:pPr>
            <w:r>
              <w:rPr>
                <w:rFonts w:hint="eastAsia" w:ascii="宋体" w:hAnsi="宋体"/>
                <w:sz w:val="15"/>
                <w:szCs w:val="15"/>
              </w:rPr>
              <w:t>综</w:t>
            </w:r>
          </w:p>
          <w:p>
            <w:pPr>
              <w:snapToGrid w:val="0"/>
              <w:spacing w:line="220" w:lineRule="exact"/>
              <w:jc w:val="center"/>
              <w:rPr>
                <w:rFonts w:ascii="宋体" w:hAnsi="宋体"/>
                <w:sz w:val="15"/>
                <w:szCs w:val="15"/>
              </w:rPr>
            </w:pPr>
            <w:r>
              <w:rPr>
                <w:rFonts w:hint="eastAsia" w:ascii="宋体" w:hAnsi="宋体"/>
                <w:sz w:val="15"/>
                <w:szCs w:val="15"/>
              </w:rPr>
              <w:t>合</w:t>
            </w:r>
          </w:p>
          <w:p>
            <w:pPr>
              <w:snapToGrid w:val="0"/>
              <w:spacing w:line="220" w:lineRule="exact"/>
              <w:jc w:val="center"/>
              <w:rPr>
                <w:rFonts w:ascii="宋体" w:hAnsi="宋体"/>
                <w:sz w:val="15"/>
                <w:szCs w:val="15"/>
              </w:rPr>
            </w:pPr>
            <w:r>
              <w:rPr>
                <w:rFonts w:hint="eastAsia" w:ascii="宋体" w:hAnsi="宋体"/>
                <w:sz w:val="15"/>
                <w:szCs w:val="15"/>
              </w:rPr>
              <w:t>实</w:t>
            </w:r>
          </w:p>
          <w:p>
            <w:pPr>
              <w:adjustRightInd w:val="0"/>
              <w:snapToGrid w:val="0"/>
              <w:spacing w:line="220" w:lineRule="exact"/>
              <w:jc w:val="center"/>
              <w:rPr>
                <w:rFonts w:ascii="宋体" w:hAnsi="宋体"/>
                <w:sz w:val="15"/>
                <w:szCs w:val="15"/>
              </w:rPr>
            </w:pPr>
            <w:r>
              <w:rPr>
                <w:rFonts w:hint="eastAsia" w:ascii="宋体" w:hAnsi="宋体"/>
                <w:sz w:val="15"/>
                <w:szCs w:val="15"/>
              </w:rPr>
              <w:t>训</w:t>
            </w: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33</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hint="eastAsia" w:ascii="宋体" w:hAnsi="宋体" w:cs="宋体"/>
                <w:sz w:val="15"/>
                <w:szCs w:val="15"/>
              </w:rPr>
              <w:t>999110001</w:t>
            </w:r>
          </w:p>
        </w:tc>
        <w:tc>
          <w:tcPr>
            <w:tcW w:w="1302" w:type="dxa"/>
            <w:gridSpan w:val="2"/>
            <w:tcBorders>
              <w:left w:val="single" w:color="auto" w:sz="4" w:space="0"/>
              <w:bottom w:val="single" w:color="auto" w:sz="4" w:space="0"/>
              <w:right w:val="single" w:color="auto" w:sz="4" w:space="0"/>
            </w:tcBorders>
            <w:vAlign w:val="center"/>
          </w:tcPr>
          <w:p>
            <w:pPr>
              <w:snapToGrid w:val="0"/>
              <w:spacing w:line="240" w:lineRule="exact"/>
              <w:rPr>
                <w:rFonts w:hint="eastAsia" w:ascii="宋体" w:hAnsi="宋体"/>
                <w:sz w:val="15"/>
                <w:szCs w:val="15"/>
              </w:rPr>
            </w:pPr>
            <w:r>
              <w:rPr>
                <w:rFonts w:hint="eastAsia" w:ascii="宋体" w:hAnsi="宋体"/>
                <w:sz w:val="15"/>
                <w:szCs w:val="15"/>
              </w:rPr>
              <w:t>入学教育</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150" w:firstLineChars="100"/>
              <w:jc w:val="center"/>
              <w:rPr>
                <w:rFonts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hint="eastAsia" w:ascii="宋体" w:hAnsi="宋体"/>
                <w:sz w:val="15"/>
                <w:szCs w:val="15"/>
              </w:rPr>
            </w:pPr>
            <w:r>
              <w:rPr>
                <w:rFonts w:hint="eastAsia" w:ascii="宋体" w:hAnsi="宋体"/>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ascii="宋体" w:hAnsi="宋体"/>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6"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34</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cs="宋体"/>
                <w:sz w:val="15"/>
                <w:szCs w:val="15"/>
              </w:rPr>
              <w:t>999110002</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hint="eastAsia" w:ascii="宋体" w:hAnsi="宋体"/>
                <w:sz w:val="15"/>
                <w:szCs w:val="15"/>
              </w:rPr>
              <w:t>军训</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150" w:firstLineChars="100"/>
              <w:jc w:val="center"/>
              <w:rPr>
                <w:rFonts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hint="eastAsia" w:ascii="宋体" w:hAnsi="宋体"/>
                <w:sz w:val="15"/>
                <w:szCs w:val="15"/>
              </w:rPr>
            </w:pPr>
            <w:r>
              <w:rPr>
                <w:rFonts w:hint="eastAsia" w:ascii="宋体" w:hAnsi="宋体"/>
                <w:sz w:val="15"/>
                <w:szCs w:val="15"/>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pacing w:val="-2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ascii="宋体" w:hAnsi="宋体"/>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6"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35</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ascii="宋体" w:hAnsi="宋体"/>
                <w:sz w:val="15"/>
                <w:szCs w:val="15"/>
              </w:rPr>
              <w:t>102533001</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 w:val="15"/>
                <w:szCs w:val="15"/>
              </w:rPr>
            </w:pPr>
            <w:r>
              <w:rPr>
                <w:rFonts w:hint="eastAsia" w:ascii="宋体" w:hAnsi="宋体"/>
                <w:sz w:val="15"/>
                <w:szCs w:val="15"/>
              </w:rPr>
              <w:t>互联网金融营销</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hint="eastAsia" w:ascii="宋体" w:hAnsi="宋体"/>
                <w:sz w:val="15"/>
                <w:szCs w:val="15"/>
              </w:rPr>
            </w:pP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pacing w:val="-2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ascii="宋体" w:hAnsi="宋体"/>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36</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ascii="宋体" w:hAnsi="宋体"/>
                <w:sz w:val="15"/>
                <w:szCs w:val="15"/>
              </w:rPr>
              <w:t>102533002</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15"/>
                <w:szCs w:val="15"/>
              </w:rPr>
            </w:pPr>
            <w:r>
              <w:rPr>
                <w:rFonts w:hint="eastAsia" w:ascii="宋体" w:hAnsi="宋体"/>
                <w:sz w:val="15"/>
                <w:szCs w:val="15"/>
              </w:rPr>
              <w:t>股票模拟实训</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hint="eastAsia" w:ascii="宋体" w:hAnsi="宋体"/>
                <w:sz w:val="15"/>
                <w:szCs w:val="15"/>
              </w:rPr>
            </w:pP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ascii="宋体" w:hAnsi="宋体"/>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37</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ascii="宋体" w:hAnsi="宋体"/>
                <w:sz w:val="15"/>
                <w:szCs w:val="15"/>
              </w:rPr>
              <w:t>102533003</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hint="eastAsia" w:ascii="宋体" w:hAnsi="宋体"/>
                <w:sz w:val="15"/>
                <w:szCs w:val="15"/>
              </w:rPr>
              <w:t>基于Excel的金融综合实训</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sz w:val="15"/>
                <w:szCs w:val="15"/>
              </w:rPr>
            </w:pP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ascii="宋体" w:hAnsi="宋体"/>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4" w:hRule="atLeast"/>
          <w:jc w:val="center"/>
        </w:trPr>
        <w:tc>
          <w:tcPr>
            <w:tcW w:w="391"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2679" w:type="dxa"/>
            <w:gridSpan w:val="4"/>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spacing w:val="-6"/>
                <w:sz w:val="15"/>
                <w:szCs w:val="15"/>
              </w:rPr>
            </w:pPr>
            <w:r>
              <w:rPr>
                <w:rFonts w:hint="eastAsia" w:ascii="宋体" w:hAnsi="宋体"/>
                <w:b/>
                <w:sz w:val="15"/>
                <w:szCs w:val="15"/>
              </w:rPr>
              <w:t>小</w:t>
            </w:r>
            <w:r>
              <w:rPr>
                <w:rFonts w:hint="eastAsia" w:ascii="宋体" w:hAnsi="宋体"/>
                <w:spacing w:val="-6"/>
                <w:sz w:val="15"/>
                <w:szCs w:val="15"/>
              </w:rPr>
              <w:t xml:space="preserve">        </w:t>
            </w:r>
            <w:r>
              <w:rPr>
                <w:rFonts w:hint="eastAsia" w:ascii="宋体" w:hAnsi="宋体"/>
                <w:b/>
                <w:sz w:val="15"/>
                <w:szCs w:val="15"/>
              </w:rPr>
              <w:t>计</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5"/>
                <w:szCs w:val="15"/>
              </w:rPr>
            </w:pPr>
            <w:r>
              <w:rPr>
                <w:rFonts w:hint="eastAsia" w:ascii="宋体" w:hAnsi="宋体"/>
                <w:b/>
                <w:bCs/>
                <w:sz w:val="15"/>
                <w:szCs w:val="15"/>
              </w:rPr>
              <w:t>11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5"/>
                <w:szCs w:val="15"/>
              </w:rPr>
            </w:pPr>
            <w:r>
              <w:rPr>
                <w:rFonts w:hint="eastAsia" w:ascii="宋体" w:hAnsi="宋体"/>
                <w:b/>
                <w:bCs/>
                <w:sz w:val="15"/>
                <w:szCs w:val="15"/>
              </w:rPr>
              <w:t>330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5"/>
                <w:szCs w:val="15"/>
              </w:rPr>
            </w:pPr>
            <w:r>
              <w:rPr>
                <w:rFonts w:hint="eastAsia" w:ascii="宋体" w:hAnsi="宋体"/>
                <w:b/>
                <w:bCs/>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5"/>
                <w:szCs w:val="15"/>
              </w:rPr>
            </w:pPr>
            <w:r>
              <w:rPr>
                <w:rFonts w:hint="eastAsia" w:ascii="宋体" w:hAnsi="宋体"/>
                <w:b/>
                <w:bCs/>
                <w:sz w:val="15"/>
                <w:szCs w:val="15"/>
              </w:rPr>
              <w:t>315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b/>
                <w:bCs/>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b/>
                <w:bCs/>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b/>
                <w:bCs/>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3" w:hRule="atLeast"/>
          <w:jc w:val="center"/>
        </w:trPr>
        <w:tc>
          <w:tcPr>
            <w:tcW w:w="391"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sz w:val="15"/>
                <w:szCs w:val="15"/>
              </w:rPr>
            </w:pPr>
            <w:r>
              <w:rPr>
                <w:rFonts w:hint="eastAsia" w:ascii="宋体" w:hAnsi="宋体"/>
                <w:sz w:val="15"/>
                <w:szCs w:val="15"/>
              </w:rPr>
              <w:t>毕业实践</w:t>
            </w: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sz w:val="15"/>
                <w:szCs w:val="15"/>
              </w:rPr>
            </w:pPr>
            <w:r>
              <w:rPr>
                <w:rFonts w:hint="eastAsia" w:ascii="宋体" w:hAnsi="宋体"/>
                <w:sz w:val="15"/>
                <w:szCs w:val="15"/>
              </w:rPr>
              <w:t>38</w:t>
            </w:r>
          </w:p>
        </w:tc>
        <w:tc>
          <w:tcPr>
            <w:tcW w:w="96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5"/>
                <w:szCs w:val="15"/>
              </w:rPr>
            </w:pPr>
            <w:r>
              <w:rPr>
                <w:rFonts w:ascii="宋体" w:hAnsi="宋体" w:cs="宋体"/>
                <w:sz w:val="15"/>
                <w:szCs w:val="15"/>
              </w:rPr>
              <w:t>102511001</w:t>
            </w:r>
          </w:p>
        </w:tc>
        <w:tc>
          <w:tcPr>
            <w:tcW w:w="1302" w:type="dxa"/>
            <w:gridSpan w:val="2"/>
            <w:tcBorders>
              <w:left w:val="single" w:color="auto" w:sz="4" w:space="0"/>
              <w:bottom w:val="single" w:color="auto" w:sz="4" w:space="0"/>
              <w:right w:val="single" w:color="auto" w:sz="4" w:space="0"/>
            </w:tcBorders>
            <w:vAlign w:val="center"/>
          </w:tcPr>
          <w:p>
            <w:pPr>
              <w:spacing w:line="240" w:lineRule="exact"/>
              <w:rPr>
                <w:rFonts w:ascii="宋体" w:hAnsi="宋体"/>
                <w:sz w:val="15"/>
                <w:szCs w:val="15"/>
              </w:rPr>
            </w:pPr>
            <w:r>
              <w:rPr>
                <w:rFonts w:hint="eastAsia" w:ascii="宋体" w:hAnsi="宋体"/>
                <w:sz w:val="15"/>
                <w:szCs w:val="15"/>
              </w:rPr>
              <w:t>顶岗实习</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540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5"/>
                <w:szCs w:val="15"/>
              </w:rPr>
            </w:pPr>
            <w:r>
              <w:rPr>
                <w:rFonts w:hint="eastAsia" w:ascii="宋体" w:hAnsi="宋体"/>
                <w:sz w:val="15"/>
                <w:szCs w:val="15"/>
              </w:rPr>
              <w:t>540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pacing w:val="-20"/>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pacing w:val="-20"/>
                <w:sz w:val="15"/>
                <w:szCs w:val="15"/>
              </w:rPr>
            </w:pPr>
            <w:r>
              <w:rPr>
                <w:rFonts w:ascii="宋体" w:hAnsi="宋体"/>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3" w:hRule="atLeast"/>
          <w:jc w:val="center"/>
        </w:trPr>
        <w:tc>
          <w:tcPr>
            <w:tcW w:w="391" w:type="dxa"/>
            <w:vMerge w:val="continue"/>
            <w:tcBorders>
              <w:left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411" w:type="dxa"/>
            <w:tcBorders>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sz w:val="15"/>
                <w:szCs w:val="15"/>
              </w:rPr>
            </w:pPr>
            <w:r>
              <w:rPr>
                <w:rFonts w:hint="eastAsia" w:ascii="宋体" w:hAnsi="宋体"/>
                <w:sz w:val="15"/>
                <w:szCs w:val="15"/>
              </w:rPr>
              <w:t>39</w:t>
            </w:r>
          </w:p>
        </w:tc>
        <w:tc>
          <w:tcPr>
            <w:tcW w:w="966" w:type="dxa"/>
            <w:tcBorders>
              <w:left w:val="single" w:color="auto" w:sz="4" w:space="0"/>
              <w:bottom w:val="single" w:color="auto" w:sz="4" w:space="0"/>
              <w:right w:val="single" w:color="auto" w:sz="4" w:space="0"/>
            </w:tcBorders>
            <w:vAlign w:val="center"/>
          </w:tcPr>
          <w:p>
            <w:pPr>
              <w:rPr>
                <w:rFonts w:hint="eastAsia" w:ascii="宋体" w:hAnsi="宋体"/>
                <w:sz w:val="15"/>
                <w:szCs w:val="15"/>
              </w:rPr>
            </w:pPr>
            <w:r>
              <w:rPr>
                <w:rFonts w:ascii="宋体" w:hAnsi="宋体" w:cs="宋体"/>
                <w:sz w:val="15"/>
                <w:szCs w:val="15"/>
              </w:rPr>
              <w:t>102511002</w:t>
            </w:r>
          </w:p>
        </w:tc>
        <w:tc>
          <w:tcPr>
            <w:tcW w:w="1302" w:type="dxa"/>
            <w:gridSpan w:val="2"/>
            <w:tcBorders>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r>
              <w:rPr>
                <w:rFonts w:hint="eastAsia" w:ascii="宋体" w:hAnsi="宋体"/>
                <w:sz w:val="15"/>
                <w:szCs w:val="15"/>
              </w:rPr>
              <w:t>毕业报告开题与答辩</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50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25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5"/>
                <w:szCs w:val="15"/>
              </w:rPr>
            </w:pPr>
            <w:r>
              <w:rPr>
                <w:rFonts w:hint="eastAsia" w:ascii="宋体" w:hAnsi="宋体"/>
                <w:sz w:val="15"/>
                <w:szCs w:val="15"/>
              </w:rPr>
              <w:t>25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pacing w:val="-20"/>
                <w:sz w:val="15"/>
                <w:szCs w:val="15"/>
              </w:rPr>
            </w:pPr>
            <w:r>
              <w:rPr>
                <w:rFonts w:ascii="宋体" w:hAnsi="宋体"/>
                <w:color w:val="00000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391" w:type="dxa"/>
            <w:vMerge w:val="continue"/>
            <w:tcBorders>
              <w:left w:val="single" w:color="auto" w:sz="4" w:space="0"/>
              <w:bottom w:val="single" w:color="auto" w:sz="4" w:space="0"/>
              <w:right w:val="single" w:color="auto" w:sz="4" w:space="0"/>
            </w:tcBorders>
          </w:tcPr>
          <w:p>
            <w:pPr>
              <w:adjustRightInd w:val="0"/>
              <w:snapToGrid w:val="0"/>
              <w:spacing w:line="240" w:lineRule="exact"/>
              <w:jc w:val="center"/>
              <w:rPr>
                <w:rFonts w:ascii="宋体" w:hAnsi="宋体"/>
                <w:sz w:val="15"/>
                <w:szCs w:val="15"/>
              </w:rPr>
            </w:pPr>
          </w:p>
        </w:tc>
        <w:tc>
          <w:tcPr>
            <w:tcW w:w="2679" w:type="dxa"/>
            <w:gridSpan w:val="4"/>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sz w:val="15"/>
                <w:szCs w:val="15"/>
              </w:rPr>
            </w:pPr>
            <w:r>
              <w:rPr>
                <w:rFonts w:hint="eastAsia" w:ascii="宋体" w:hAnsi="宋体"/>
                <w:b/>
                <w:sz w:val="15"/>
                <w:szCs w:val="15"/>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5"/>
                <w:szCs w:val="15"/>
              </w:rPr>
            </w:pPr>
            <w:r>
              <w:rPr>
                <w:rFonts w:hint="eastAsia" w:ascii="宋体" w:hAnsi="宋体"/>
                <w:b/>
                <w:bCs/>
                <w:sz w:val="15"/>
                <w:szCs w:val="15"/>
              </w:rPr>
              <w:t>20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5"/>
                <w:szCs w:val="15"/>
              </w:rPr>
            </w:pPr>
            <w:r>
              <w:rPr>
                <w:rFonts w:hint="eastAsia" w:ascii="宋体" w:hAnsi="宋体"/>
                <w:b/>
                <w:bCs/>
                <w:sz w:val="15"/>
                <w:szCs w:val="15"/>
              </w:rPr>
              <w:t>590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5"/>
                <w:szCs w:val="15"/>
              </w:rPr>
            </w:pPr>
            <w:r>
              <w:rPr>
                <w:rFonts w:hint="eastAsia" w:ascii="宋体" w:hAnsi="宋体"/>
                <w:b/>
                <w:bCs/>
                <w:sz w:val="15"/>
                <w:szCs w:val="15"/>
              </w:rPr>
              <w:t>25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5"/>
                <w:szCs w:val="15"/>
              </w:rPr>
            </w:pPr>
            <w:r>
              <w:rPr>
                <w:rFonts w:hint="eastAsia" w:ascii="宋体" w:hAnsi="宋体"/>
                <w:b/>
                <w:bCs/>
                <w:sz w:val="15"/>
                <w:szCs w:val="15"/>
              </w:rPr>
              <w:t>565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b/>
                <w:bCs/>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b/>
                <w:bCs/>
                <w:sz w:val="15"/>
                <w:szCs w:val="15"/>
              </w:rPr>
            </w:pPr>
          </w:p>
        </w:tc>
        <w:tc>
          <w:tcPr>
            <w:tcW w:w="567" w:type="dxa"/>
            <w:tcBorders>
              <w:top w:val="single" w:color="auto" w:sz="4" w:space="0"/>
              <w:left w:val="single" w:color="auto" w:sz="4" w:space="0"/>
              <w:bottom w:val="single" w:color="auto" w:sz="4" w:space="0"/>
              <w:right w:val="single" w:color="auto" w:sz="4" w:space="0"/>
            </w:tcBorders>
          </w:tcPr>
          <w:p>
            <w:pPr>
              <w:snapToGrid w:val="0"/>
              <w:spacing w:line="240" w:lineRule="exact"/>
              <w:rPr>
                <w:rFonts w:ascii="宋体" w:hAnsi="宋体"/>
                <w:b/>
                <w:bCs/>
                <w:sz w:val="15"/>
                <w:szCs w:val="15"/>
              </w:rPr>
            </w:pPr>
          </w:p>
        </w:tc>
        <w:tc>
          <w:tcPr>
            <w:tcW w:w="2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b/>
                <w:bCs/>
                <w:sz w:val="15"/>
                <w:szCs w:val="15"/>
              </w:rPr>
            </w:pPr>
          </w:p>
        </w:tc>
        <w:tc>
          <w:tcPr>
            <w:tcW w:w="2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hAnsi="宋体"/>
                <w:b/>
                <w:bCs/>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970" w:type="dxa"/>
            <w:gridSpan w:val="4"/>
            <w:vMerge w:val="restart"/>
            <w:tcBorders>
              <w:left w:val="single" w:color="auto" w:sz="4" w:space="0"/>
              <w:right w:val="single" w:color="auto" w:sz="4" w:space="0"/>
            </w:tcBorders>
            <w:vAlign w:val="center"/>
          </w:tcPr>
          <w:p>
            <w:pPr>
              <w:snapToGrid w:val="0"/>
              <w:spacing w:line="240" w:lineRule="exact"/>
              <w:jc w:val="center"/>
              <w:rPr>
                <w:rFonts w:ascii="宋体" w:hAnsi="宋体"/>
                <w:b/>
                <w:sz w:val="15"/>
                <w:szCs w:val="15"/>
              </w:rPr>
            </w:pPr>
            <w:r>
              <w:rPr>
                <w:rFonts w:hint="eastAsia" w:ascii="宋体" w:hAnsi="宋体"/>
                <w:b/>
                <w:sz w:val="15"/>
                <w:szCs w:val="15"/>
              </w:rPr>
              <w:t>合      计</w:t>
            </w: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sz w:val="15"/>
                <w:szCs w:val="15"/>
              </w:rPr>
            </w:pPr>
            <w:r>
              <w:rPr>
                <w:rFonts w:hint="eastAsia" w:ascii="宋体" w:hAnsi="宋体"/>
                <w:b/>
                <w:sz w:val="15"/>
                <w:szCs w:val="15"/>
              </w:rPr>
              <w:t>周数</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17</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p>
        </w:tc>
        <w:tc>
          <w:tcPr>
            <w:tcW w:w="574" w:type="dxa"/>
            <w:gridSpan w:val="2"/>
            <w:vMerge w:val="restart"/>
            <w:tcBorders>
              <w:top w:val="single" w:color="auto" w:sz="4" w:space="0"/>
              <w:left w:val="single" w:color="auto" w:sz="4" w:space="0"/>
              <w:right w:val="single" w:color="auto" w:sz="4" w:space="0"/>
            </w:tcBorders>
            <w:vAlign w:val="center"/>
          </w:tcPr>
          <w:p>
            <w:pPr>
              <w:rPr>
                <w:rFonts w:hint="eastAsia" w:ascii="宋体" w:hAnsi="宋体"/>
                <w:sz w:val="15"/>
                <w:szCs w:val="15"/>
              </w:rPr>
            </w:pPr>
            <w:r>
              <w:rPr>
                <w:rFonts w:hint="eastAsia" w:ascii="宋体" w:hAnsi="宋体"/>
                <w:sz w:val="15"/>
                <w:szCs w:val="15"/>
              </w:rPr>
              <w:t>理实比1:</w:t>
            </w:r>
            <w:r>
              <w:rPr>
                <w:rFonts w:ascii="宋体" w:hAnsi="宋体"/>
                <w:sz w:val="15"/>
                <w:szCs w:val="15"/>
              </w:rPr>
              <w:t>1.03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970" w:type="dxa"/>
            <w:gridSpan w:val="4"/>
            <w:vMerge w:val="continue"/>
            <w:tcBorders>
              <w:left w:val="single" w:color="auto" w:sz="4" w:space="0"/>
              <w:right w:val="single" w:color="auto" w:sz="4" w:space="0"/>
            </w:tcBorders>
            <w:vAlign w:val="center"/>
          </w:tcPr>
          <w:p>
            <w:pPr>
              <w:snapToGrid w:val="0"/>
              <w:spacing w:line="240" w:lineRule="exact"/>
              <w:jc w:val="center"/>
              <w:rPr>
                <w:rFonts w:ascii="宋体" w:hAnsi="宋体"/>
                <w:b/>
                <w:sz w:val="15"/>
                <w:szCs w:val="15"/>
              </w:rPr>
            </w:pP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sz w:val="15"/>
                <w:szCs w:val="15"/>
              </w:rPr>
            </w:pPr>
            <w:r>
              <w:rPr>
                <w:rFonts w:hint="eastAsia" w:ascii="宋体" w:hAnsi="宋体"/>
                <w:b/>
                <w:sz w:val="15"/>
                <w:szCs w:val="15"/>
              </w:rPr>
              <w:t>教学周学时</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1</w:t>
            </w:r>
            <w:r>
              <w:rPr>
                <w:rFonts w:ascii="宋体" w:hAnsi="宋体"/>
                <w:sz w:val="15"/>
                <w:szCs w:val="15"/>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2</w:t>
            </w:r>
            <w:r>
              <w:rPr>
                <w:rFonts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1</w:t>
            </w:r>
            <w:r>
              <w:rPr>
                <w:rFonts w:ascii="宋体" w:hAnsi="宋体"/>
                <w:sz w:val="15"/>
                <w:szCs w:val="15"/>
              </w:rPr>
              <w:t>8</w:t>
            </w:r>
          </w:p>
        </w:tc>
        <w:tc>
          <w:tcPr>
            <w:tcW w:w="567" w:type="dxa"/>
            <w:tcBorders>
              <w:top w:val="single" w:color="auto" w:sz="4" w:space="0"/>
              <w:left w:val="single" w:color="auto" w:sz="4" w:space="0"/>
              <w:bottom w:val="single" w:color="auto" w:sz="4" w:space="0"/>
              <w:right w:val="single" w:color="auto" w:sz="4" w:space="0"/>
            </w:tcBorders>
            <w:vAlign w:val="center"/>
          </w:tcPr>
          <w:p>
            <w:pPr>
              <w:ind w:left="-105" w:right="-105"/>
              <w:jc w:val="center"/>
              <w:rPr>
                <w:rFonts w:ascii="宋体" w:hAnsi="宋体"/>
                <w:sz w:val="15"/>
                <w:szCs w:val="15"/>
              </w:rPr>
            </w:pPr>
            <w:r>
              <w:rPr>
                <w:rFonts w:hint="eastAsia" w:ascii="宋体" w:hAnsi="宋体"/>
                <w:sz w:val="15"/>
                <w:szCs w:val="15"/>
              </w:rPr>
              <w:t>2</w:t>
            </w:r>
            <w:r>
              <w:rPr>
                <w:rFonts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1</w:t>
            </w:r>
            <w:r>
              <w:rPr>
                <w:rFonts w:ascii="宋体" w:hAnsi="宋体"/>
                <w:sz w:val="15"/>
                <w:szCs w:val="15"/>
              </w:rPr>
              <w:t>8</w:t>
            </w:r>
          </w:p>
        </w:tc>
        <w:tc>
          <w:tcPr>
            <w:tcW w:w="567" w:type="dxa"/>
            <w:tcBorders>
              <w:top w:val="single" w:color="auto" w:sz="4" w:space="0"/>
              <w:left w:val="single" w:color="auto" w:sz="4" w:space="0"/>
              <w:bottom w:val="single" w:color="auto" w:sz="4" w:space="0"/>
              <w:right w:val="single" w:color="auto" w:sz="4" w:space="0"/>
            </w:tcBorders>
          </w:tcPr>
          <w:p>
            <w:pPr>
              <w:rPr>
                <w:rFonts w:ascii="宋体" w:hAnsi="宋体"/>
                <w:sz w:val="15"/>
                <w:szCs w:val="15"/>
              </w:rPr>
            </w:pPr>
          </w:p>
        </w:tc>
        <w:tc>
          <w:tcPr>
            <w:tcW w:w="574" w:type="dxa"/>
            <w:gridSpan w:val="2"/>
            <w:vMerge w:val="continue"/>
            <w:tcBorders>
              <w:left w:val="single" w:color="auto" w:sz="4" w:space="0"/>
              <w:right w:val="single" w:color="auto" w:sz="4" w:space="0"/>
            </w:tcBorders>
            <w:vAlign w:val="center"/>
          </w:tcPr>
          <w:p>
            <w:pP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970" w:type="dxa"/>
            <w:gridSpan w:val="4"/>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sz w:val="15"/>
                <w:szCs w:val="15"/>
              </w:rPr>
            </w:pP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sz w:val="15"/>
                <w:szCs w:val="15"/>
              </w:rPr>
            </w:pPr>
            <w:r>
              <w:rPr>
                <w:rFonts w:hint="eastAsia" w:ascii="宋体" w:hAnsi="宋体"/>
                <w:b/>
                <w:sz w:val="15"/>
                <w:szCs w:val="15"/>
              </w:rPr>
              <w:t>总计</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145.5</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2688</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p>
        </w:tc>
        <w:tc>
          <w:tcPr>
            <w:tcW w:w="574" w:type="dxa"/>
            <w:gridSpan w:val="2"/>
            <w:vMerge w:val="continue"/>
            <w:tcBorders>
              <w:left w:val="single" w:color="auto" w:sz="4" w:space="0"/>
              <w:bottom w:val="single" w:color="auto" w:sz="4" w:space="0"/>
              <w:right w:val="single" w:color="auto" w:sz="4" w:space="0"/>
            </w:tcBorders>
            <w:vAlign w:val="center"/>
          </w:tcPr>
          <w:p>
            <w:pPr>
              <w:rPr>
                <w:rFonts w:ascii="宋体" w:hAnsi="宋体"/>
                <w:sz w:val="15"/>
                <w:szCs w:val="15"/>
              </w:rPr>
            </w:pPr>
          </w:p>
        </w:tc>
      </w:tr>
    </w:tbl>
    <w:p>
      <w:pPr>
        <w:spacing w:line="440" w:lineRule="atLeast"/>
        <w:rPr>
          <w:rFonts w:hint="eastAsia" w:ascii="宋体" w:hAnsi="宋体"/>
          <w:sz w:val="24"/>
        </w:rPr>
      </w:pPr>
    </w:p>
    <w:p>
      <w:pPr>
        <w:spacing w:line="440" w:lineRule="atLeast"/>
        <w:rPr>
          <w:rFonts w:ascii="宋体" w:hAnsi="宋体"/>
          <w:color w:val="000000"/>
          <w:szCs w:val="21"/>
        </w:rPr>
      </w:pPr>
      <w:r>
        <w:rPr>
          <w:rFonts w:hint="eastAsia" w:ascii="宋体" w:hAnsi="宋体"/>
          <w:color w:val="000000"/>
          <w:szCs w:val="21"/>
        </w:rPr>
        <w:t>备注：第三、四学期各选8学分</w:t>
      </w:r>
    </w:p>
    <w:p>
      <w:pPr>
        <w:spacing w:line="440" w:lineRule="atLeast"/>
        <w:rPr>
          <w:rFonts w:hint="eastAsia" w:ascii="宋体" w:hAnsi="宋体"/>
          <w:sz w:val="24"/>
        </w:rPr>
      </w:pPr>
    </w:p>
    <w:p>
      <w:pPr>
        <w:spacing w:line="440" w:lineRule="atLeast"/>
        <w:jc w:val="center"/>
        <w:rPr>
          <w:rFonts w:hint="eastAsia" w:ascii="宋体" w:hAnsi="宋体"/>
          <w:sz w:val="24"/>
        </w:rPr>
      </w:pPr>
    </w:p>
    <w:p>
      <w:pPr>
        <w:spacing w:line="440" w:lineRule="atLeast"/>
        <w:ind w:firstLine="480" w:firstLineChars="200"/>
        <w:jc w:val="center"/>
        <w:rPr>
          <w:rFonts w:ascii="宋体" w:hAnsi="宋体"/>
          <w:sz w:val="24"/>
        </w:rPr>
      </w:pPr>
      <w:r>
        <w:rPr>
          <w:rFonts w:hint="eastAsia" w:ascii="宋体" w:hAnsi="宋体"/>
          <w:sz w:val="24"/>
        </w:rPr>
        <w:t>职业素质拓展课程（职业素质选修课）</w:t>
      </w:r>
      <w:bookmarkEnd w:id="154"/>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725"/>
        <w:gridCol w:w="610"/>
        <w:gridCol w:w="699"/>
        <w:gridCol w:w="460"/>
        <w:gridCol w:w="535"/>
        <w:gridCol w:w="535"/>
        <w:gridCol w:w="536"/>
        <w:gridCol w:w="535"/>
        <w:gridCol w:w="535"/>
        <w:gridCol w:w="53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36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课程代码</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课程名称</w:t>
            </w:r>
          </w:p>
        </w:tc>
        <w:tc>
          <w:tcPr>
            <w:tcW w:w="61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学</w:t>
            </w:r>
          </w:p>
          <w:p>
            <w:pPr>
              <w:snapToGrid w:val="0"/>
              <w:jc w:val="center"/>
              <w:rPr>
                <w:rFonts w:ascii="宋体" w:hAnsi="宋体" w:cs="宋体"/>
                <w:b/>
                <w:szCs w:val="21"/>
              </w:rPr>
            </w:pPr>
            <w:r>
              <w:rPr>
                <w:rFonts w:hint="eastAsia" w:ascii="宋体" w:hAnsi="宋体" w:cs="宋体"/>
                <w:b/>
                <w:szCs w:val="21"/>
              </w:rPr>
              <w:t>分</w:t>
            </w:r>
          </w:p>
        </w:tc>
        <w:tc>
          <w:tcPr>
            <w:tcW w:w="11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教学时数</w:t>
            </w:r>
          </w:p>
        </w:tc>
        <w:tc>
          <w:tcPr>
            <w:tcW w:w="160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考核形式</w:t>
            </w:r>
          </w:p>
        </w:tc>
        <w:tc>
          <w:tcPr>
            <w:tcW w:w="2597"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各学期周课时安排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36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69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总计学时</w:t>
            </w:r>
          </w:p>
        </w:tc>
        <w:tc>
          <w:tcPr>
            <w:tcW w:w="4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实践学时</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考试</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考查</w:t>
            </w:r>
          </w:p>
        </w:tc>
        <w:tc>
          <w:tcPr>
            <w:tcW w:w="53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认证</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1</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2</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3</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4</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136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color w:val="000000"/>
                <w:szCs w:val="21"/>
              </w:rPr>
              <w:t>×</w:t>
            </w:r>
            <w:r>
              <w:rPr>
                <w:rFonts w:hint="eastAsia" w:ascii="宋体" w:hAnsi="宋体" w:cs="宋体"/>
                <w:b/>
                <w:szCs w:val="21"/>
              </w:rPr>
              <w:t>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color w:val="000000"/>
                <w:szCs w:val="21"/>
              </w:rPr>
              <w:t>×</w:t>
            </w:r>
            <w:r>
              <w:rPr>
                <w:rFonts w:hint="eastAsia" w:ascii="宋体" w:hAnsi="宋体" w:cs="宋体"/>
                <w:b/>
                <w:szCs w:val="21"/>
              </w:rPr>
              <w:t>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color w:val="000000"/>
                <w:szCs w:val="21"/>
              </w:rPr>
              <w:t>×</w:t>
            </w:r>
            <w:r>
              <w:rPr>
                <w:rFonts w:hint="eastAsia" w:ascii="宋体" w:hAnsi="宋体" w:cs="宋体"/>
                <w:b/>
                <w:szCs w:val="21"/>
              </w:rPr>
              <w:t>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color w:val="000000"/>
                <w:szCs w:val="21"/>
              </w:rPr>
              <w:t>×</w:t>
            </w:r>
            <w:r>
              <w:rPr>
                <w:rFonts w:hint="eastAsia" w:ascii="宋体" w:hAnsi="宋体" w:cs="宋体"/>
                <w:b/>
                <w:szCs w:val="21"/>
              </w:rPr>
              <w:t>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color w:val="000000"/>
                <w:szCs w:val="21"/>
              </w:rPr>
              <w:t>×</w:t>
            </w:r>
            <w:r>
              <w:rPr>
                <w:rFonts w:hint="eastAsia" w:ascii="宋体" w:hAnsi="宋体" w:cs="宋体"/>
                <w:b/>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pacing w:val="-6"/>
                <w:szCs w:val="21"/>
              </w:rPr>
            </w:pPr>
          </w:p>
        </w:tc>
        <w:tc>
          <w:tcPr>
            <w:tcW w:w="61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pacing w:val="-6"/>
                <w:szCs w:val="21"/>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pacing w:val="-6"/>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6600"/>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6600"/>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ind w:right="55" w:rightChars="26"/>
              <w:rPr>
                <w:rFonts w:ascii="宋体" w:hAnsi="宋体" w:cs="宋体"/>
                <w:szCs w:val="21"/>
              </w:rPr>
            </w:pPr>
          </w:p>
        </w:tc>
        <w:tc>
          <w:tcPr>
            <w:tcW w:w="610"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rPr>
                <w:rFonts w:ascii="宋体" w:hAnsi="宋体" w:cs="宋体"/>
                <w:szCs w:val="21"/>
              </w:rPr>
            </w:pPr>
          </w:p>
        </w:tc>
        <w:tc>
          <w:tcPr>
            <w:tcW w:w="699" w:type="dxa"/>
            <w:tcBorders>
              <w:top w:val="single" w:color="auto" w:sz="4" w:space="0"/>
              <w:left w:val="single" w:color="auto" w:sz="4" w:space="0"/>
              <w:bottom w:val="single" w:color="auto" w:sz="4" w:space="0"/>
              <w:right w:val="single" w:color="auto" w:sz="4" w:space="0"/>
            </w:tcBorders>
            <w:vAlign w:val="center"/>
          </w:tcPr>
          <w:p>
            <w:pPr>
              <w:ind w:left="-105" w:leftChars="-50" w:right="-128" w:rightChars="-61"/>
              <w:rPr>
                <w:rFonts w:ascii="宋体" w:hAnsi="宋体" w:cs="宋体"/>
                <w:bCs/>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6600"/>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6600"/>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08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rPr>
            </w:pPr>
            <w:r>
              <w:rPr>
                <w:rFonts w:hint="eastAsia" w:ascii="宋体" w:hAnsi="宋体" w:cs="宋体"/>
                <w:b/>
                <w:szCs w:val="21"/>
              </w:rPr>
              <w:t>小    计</w:t>
            </w:r>
          </w:p>
        </w:tc>
        <w:tc>
          <w:tcPr>
            <w:tcW w:w="61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p>
        </w:tc>
      </w:tr>
    </w:tbl>
    <w:p>
      <w:pPr>
        <w:spacing w:line="440" w:lineRule="atLeast"/>
        <w:rPr>
          <w:rFonts w:ascii="宋体" w:hAnsi="宋体"/>
          <w:sz w:val="24"/>
        </w:rPr>
      </w:pPr>
      <w:bookmarkStart w:id="155" w:name="_Toc12628_WPSOffice_Level1"/>
    </w:p>
    <w:p>
      <w:pPr>
        <w:spacing w:line="440" w:lineRule="atLeast"/>
        <w:ind w:firstLine="480" w:firstLineChars="200"/>
        <w:jc w:val="center"/>
        <w:rPr>
          <w:rFonts w:ascii="宋体" w:hAnsi="宋体"/>
          <w:color w:val="FF0000"/>
          <w:sz w:val="24"/>
        </w:rPr>
      </w:pPr>
    </w:p>
    <w:p>
      <w:pPr>
        <w:spacing w:line="440" w:lineRule="atLeast"/>
        <w:ind w:firstLine="480" w:firstLineChars="200"/>
        <w:jc w:val="center"/>
        <w:rPr>
          <w:rFonts w:ascii="宋体" w:hAnsi="宋体"/>
          <w:color w:val="FF0000"/>
          <w:sz w:val="24"/>
        </w:rPr>
      </w:pPr>
      <w:r>
        <w:rPr>
          <w:rFonts w:hint="eastAsia" w:ascii="宋体" w:hAnsi="宋体"/>
          <w:color w:val="FF0000"/>
          <w:sz w:val="24"/>
        </w:rPr>
        <w:t>职业素质拓展课程（文化素质选修课程）</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425"/>
        <w:gridCol w:w="603"/>
        <w:gridCol w:w="460"/>
        <w:gridCol w:w="535"/>
        <w:gridCol w:w="535"/>
        <w:gridCol w:w="536"/>
        <w:gridCol w:w="535"/>
        <w:gridCol w:w="535"/>
        <w:gridCol w:w="53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课程代码</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课程名称</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学</w:t>
            </w:r>
          </w:p>
          <w:p>
            <w:pPr>
              <w:snapToGrid w:val="0"/>
              <w:jc w:val="center"/>
              <w:rPr>
                <w:rFonts w:ascii="宋体" w:hAnsi="宋体" w:cs="宋体"/>
                <w:b/>
                <w:color w:val="FF0000"/>
                <w:szCs w:val="21"/>
              </w:rPr>
            </w:pPr>
            <w:r>
              <w:rPr>
                <w:rFonts w:hint="eastAsia" w:ascii="宋体" w:hAnsi="宋体" w:cs="宋体"/>
                <w:b/>
                <w:color w:val="FF0000"/>
                <w:szCs w:val="21"/>
              </w:rPr>
              <w:t>分</w:t>
            </w:r>
          </w:p>
        </w:tc>
        <w:tc>
          <w:tcPr>
            <w:tcW w:w="106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教学时数</w:t>
            </w:r>
          </w:p>
        </w:tc>
        <w:tc>
          <w:tcPr>
            <w:tcW w:w="160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考核形式</w:t>
            </w:r>
          </w:p>
        </w:tc>
        <w:tc>
          <w:tcPr>
            <w:tcW w:w="2597"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各学期周课时安排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szCs w:val="21"/>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szCs w:val="21"/>
              </w:rPr>
            </w:pPr>
          </w:p>
        </w:tc>
        <w:tc>
          <w:tcPr>
            <w:tcW w:w="60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总计学时</w:t>
            </w:r>
          </w:p>
        </w:tc>
        <w:tc>
          <w:tcPr>
            <w:tcW w:w="4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实践学时</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考试</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考查</w:t>
            </w:r>
          </w:p>
        </w:tc>
        <w:tc>
          <w:tcPr>
            <w:tcW w:w="53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认证</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1</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2</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3</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4</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FF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szCs w:val="21"/>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szCs w:val="21"/>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szCs w:val="21"/>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szCs w:val="21"/>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szCs w:val="21"/>
              </w:rPr>
            </w:pPr>
          </w:p>
        </w:tc>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000000"/>
                <w:szCs w:val="21"/>
              </w:rPr>
              <w:t>15</w:t>
            </w:r>
            <w:r>
              <w:rPr>
                <w:rFonts w:hint="eastAsia" w:ascii="宋体" w:hAnsi="宋体" w:cs="宋体"/>
                <w:b/>
                <w:color w:val="FF0000"/>
                <w:szCs w:val="21"/>
              </w:rPr>
              <w:t>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000000"/>
                <w:szCs w:val="21"/>
              </w:rPr>
              <w:t>15</w:t>
            </w:r>
            <w:r>
              <w:rPr>
                <w:rFonts w:hint="eastAsia" w:ascii="宋体" w:hAnsi="宋体" w:cs="宋体"/>
                <w:b/>
                <w:color w:val="FF0000"/>
                <w:szCs w:val="21"/>
              </w:rPr>
              <w:t>周</w:t>
            </w: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000000"/>
                <w:szCs w:val="21"/>
              </w:rPr>
              <w:t>15</w:t>
            </w:r>
            <w:r>
              <w:rPr>
                <w:rFonts w:hint="eastAsia" w:ascii="宋体" w:hAnsi="宋体" w:cs="宋体"/>
                <w:b/>
                <w:color w:val="FF0000"/>
                <w:szCs w:val="21"/>
              </w:rPr>
              <w:t>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000000"/>
                <w:szCs w:val="21"/>
              </w:rPr>
              <w:t>15</w:t>
            </w:r>
            <w:r>
              <w:rPr>
                <w:rFonts w:hint="eastAsia" w:ascii="宋体" w:hAnsi="宋体" w:cs="宋体"/>
                <w:b/>
                <w:color w:val="FF0000"/>
                <w:szCs w:val="21"/>
              </w:rPr>
              <w:t>周</w:t>
            </w: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FF0000"/>
                <w:szCs w:val="21"/>
              </w:rPr>
            </w:pPr>
            <w:r>
              <w:rPr>
                <w:rFonts w:hint="eastAsia" w:ascii="宋体" w:hAnsi="宋体" w:cs="宋体"/>
                <w:b/>
                <w:color w:val="000000"/>
                <w:szCs w:val="21"/>
              </w:rPr>
              <w:t>15</w:t>
            </w:r>
            <w:r>
              <w:rPr>
                <w:rFonts w:hint="eastAsia" w:ascii="宋体" w:hAnsi="宋体" w:cs="宋体"/>
                <w:b/>
                <w:color w:val="FF000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999000033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FF0000"/>
                <w:spacing w:val="-6"/>
                <w:szCs w:val="21"/>
              </w:rPr>
            </w:pPr>
            <w:r>
              <w:rPr>
                <w:rFonts w:hint="eastAsia" w:ascii="宋体" w:hAnsi="宋体" w:cs="宋体"/>
                <w:color w:val="000000"/>
                <w:kern w:val="0"/>
                <w:sz w:val="20"/>
                <w:szCs w:val="20"/>
                <w:lang w:bidi="ar"/>
              </w:rPr>
              <w:t>美学原理</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ind w:left="-105" w:leftChars="-50" w:right="-128" w:rightChars="-61"/>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999110047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音乐鉴赏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w:t>
            </w:r>
            <w:r>
              <w:rPr>
                <w:rFonts w:ascii="宋体" w:hAnsi="宋体" w:cs="宋体"/>
                <w:color w:val="FF0000"/>
                <w:szCs w:val="21"/>
              </w:rPr>
              <w:t>84</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中国近现代史纲要</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999000034</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FF0000"/>
                <w:spacing w:val="-6"/>
                <w:szCs w:val="21"/>
              </w:rPr>
            </w:pPr>
            <w:r>
              <w:rPr>
                <w:rFonts w:hint="eastAsia" w:ascii="宋体" w:hAnsi="宋体" w:cs="宋体"/>
                <w:color w:val="000000"/>
                <w:kern w:val="0"/>
                <w:sz w:val="20"/>
                <w:szCs w:val="20"/>
                <w:lang w:bidi="ar"/>
              </w:rPr>
              <w:t>美术鉴赏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999000035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FF0000"/>
                <w:spacing w:val="-6"/>
                <w:szCs w:val="21"/>
              </w:rPr>
            </w:pPr>
            <w:r>
              <w:rPr>
                <w:rFonts w:hint="eastAsia" w:ascii="宋体" w:hAnsi="宋体" w:cs="宋体"/>
                <w:color w:val="000000"/>
                <w:kern w:val="0"/>
                <w:sz w:val="20"/>
                <w:szCs w:val="20"/>
                <w:lang w:bidi="ar"/>
              </w:rPr>
              <w:t>书法鉴赏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999000036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FF0000"/>
                <w:spacing w:val="-6"/>
                <w:szCs w:val="21"/>
              </w:rPr>
            </w:pPr>
            <w:r>
              <w:rPr>
                <w:rFonts w:hint="eastAsia" w:ascii="宋体" w:hAnsi="宋体" w:cs="宋体"/>
                <w:color w:val="000000"/>
                <w:kern w:val="0"/>
                <w:sz w:val="20"/>
                <w:szCs w:val="20"/>
                <w:lang w:bidi="ar"/>
              </w:rPr>
              <w:t>戏剧鉴赏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999000037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FF0000"/>
                <w:spacing w:val="-6"/>
                <w:szCs w:val="21"/>
              </w:rPr>
            </w:pPr>
            <w:r>
              <w:rPr>
                <w:rFonts w:hint="eastAsia" w:ascii="宋体" w:hAnsi="宋体" w:cs="宋体"/>
                <w:color w:val="000000"/>
                <w:kern w:val="0"/>
                <w:sz w:val="20"/>
                <w:szCs w:val="20"/>
                <w:lang w:bidi="ar"/>
              </w:rPr>
              <w:t>影视鉴赏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999000040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FF0000"/>
                <w:spacing w:val="-6"/>
                <w:szCs w:val="21"/>
              </w:rPr>
            </w:pPr>
            <w:r>
              <w:rPr>
                <w:rFonts w:hint="eastAsia" w:ascii="宋体" w:hAnsi="宋体" w:cs="宋体"/>
                <w:color w:val="000000"/>
                <w:kern w:val="0"/>
                <w:sz w:val="20"/>
                <w:szCs w:val="20"/>
                <w:lang w:bidi="ar"/>
              </w:rPr>
              <w:t>中西文化比较</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999110045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FF0000"/>
                <w:spacing w:val="-6"/>
                <w:szCs w:val="21"/>
              </w:rPr>
            </w:pPr>
            <w:r>
              <w:rPr>
                <w:rFonts w:hint="eastAsia" w:ascii="宋体" w:hAnsi="宋体" w:cs="宋体"/>
                <w:color w:val="000000"/>
                <w:kern w:val="0"/>
                <w:sz w:val="20"/>
                <w:szCs w:val="20"/>
                <w:lang w:bidi="ar"/>
              </w:rPr>
              <w:t>大学生魅力讲话实操</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999110046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FF0000"/>
                <w:spacing w:val="-6"/>
                <w:szCs w:val="21"/>
              </w:rPr>
            </w:pPr>
            <w:r>
              <w:rPr>
                <w:rFonts w:hint="eastAsia" w:ascii="宋体" w:hAnsi="宋体" w:cs="宋体"/>
                <w:color w:val="000000"/>
                <w:kern w:val="0"/>
                <w:sz w:val="20"/>
                <w:szCs w:val="20"/>
                <w:lang w:bidi="ar"/>
              </w:rPr>
              <w:t>形象管理</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999110062</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FF0000"/>
                <w:spacing w:val="-6"/>
                <w:szCs w:val="21"/>
              </w:rPr>
            </w:pPr>
            <w:r>
              <w:rPr>
                <w:rFonts w:hint="eastAsia" w:ascii="宋体" w:hAnsi="宋体" w:cs="宋体"/>
                <w:color w:val="000000"/>
                <w:kern w:val="0"/>
                <w:sz w:val="20"/>
                <w:szCs w:val="20"/>
                <w:lang w:bidi="ar"/>
              </w:rPr>
              <w:t>沙画技法</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999110069</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非遗项目</w:t>
            </w:r>
            <w:r>
              <w:rPr>
                <w:rFonts w:ascii="宋体" w:hAnsi="宋体" w:cs="宋体"/>
                <w:color w:val="000000"/>
                <w:kern w:val="0"/>
                <w:sz w:val="20"/>
                <w:szCs w:val="20"/>
                <w:lang w:bidi="ar"/>
              </w:rPr>
              <w:t>-剪纸</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999110071</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葫芦丝</w:t>
            </w:r>
            <w:r>
              <w:rPr>
                <w:rFonts w:ascii="宋体" w:hAnsi="宋体" w:cs="宋体"/>
                <w:color w:val="000000"/>
                <w:kern w:val="0"/>
                <w:sz w:val="20"/>
                <w:szCs w:val="20"/>
                <w:lang w:bidi="ar"/>
              </w:rPr>
              <w:t>演奏</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999110072</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辽宁地域文化</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999110081</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电影</w:t>
            </w:r>
            <w:r>
              <w:rPr>
                <w:rFonts w:ascii="宋体" w:hAnsi="宋体" w:cs="宋体"/>
                <w:color w:val="000000"/>
                <w:kern w:val="0"/>
                <w:sz w:val="20"/>
                <w:szCs w:val="20"/>
                <w:lang w:bidi="ar"/>
              </w:rPr>
              <w:t>与幸福感</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999110073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花道插花</w:t>
            </w:r>
            <w:r>
              <w:rPr>
                <w:rFonts w:ascii="宋体" w:hAnsi="宋体" w:cs="宋体"/>
                <w:color w:val="000000"/>
                <w:kern w:val="0"/>
                <w:sz w:val="20"/>
                <w:szCs w:val="20"/>
                <w:lang w:bidi="ar"/>
              </w:rPr>
              <w:t>技艺养成</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999110075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化妆品</w:t>
            </w:r>
            <w:r>
              <w:rPr>
                <w:rFonts w:ascii="宋体" w:hAnsi="宋体" w:cs="宋体"/>
                <w:color w:val="000000"/>
                <w:kern w:val="0"/>
                <w:sz w:val="20"/>
                <w:szCs w:val="20"/>
                <w:lang w:bidi="ar"/>
              </w:rPr>
              <w:t>赏析与</w:t>
            </w:r>
            <w:r>
              <w:rPr>
                <w:rFonts w:hint="eastAsia" w:ascii="宋体" w:hAnsi="宋体" w:cs="宋体"/>
                <w:color w:val="000000"/>
                <w:kern w:val="0"/>
                <w:sz w:val="20"/>
                <w:szCs w:val="20"/>
                <w:lang w:bidi="ar"/>
              </w:rPr>
              <w:t>应用</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999110086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漫画艺术</w:t>
            </w:r>
            <w:r>
              <w:rPr>
                <w:rFonts w:ascii="宋体" w:hAnsi="宋体" w:cs="宋体"/>
                <w:color w:val="000000"/>
                <w:kern w:val="0"/>
                <w:sz w:val="20"/>
                <w:szCs w:val="20"/>
                <w:lang w:bidi="ar"/>
              </w:rPr>
              <w:t>欣赏与创作</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999110080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男生</w:t>
            </w:r>
            <w:r>
              <w:rPr>
                <w:rFonts w:ascii="宋体" w:hAnsi="宋体" w:cs="宋体"/>
                <w:color w:val="000000"/>
                <w:kern w:val="0"/>
                <w:sz w:val="20"/>
                <w:szCs w:val="20"/>
                <w:lang w:bidi="ar"/>
              </w:rPr>
              <w:t>穿搭技巧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999110085</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女生</w:t>
            </w:r>
            <w:r>
              <w:rPr>
                <w:rFonts w:ascii="宋体" w:hAnsi="宋体" w:cs="宋体"/>
                <w:color w:val="000000"/>
                <w:kern w:val="0"/>
                <w:sz w:val="20"/>
                <w:szCs w:val="20"/>
                <w:lang w:bidi="ar"/>
              </w:rPr>
              <w:t>穿搭技巧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999110087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情绪</w:t>
            </w:r>
            <w:r>
              <w:rPr>
                <w:rFonts w:ascii="宋体" w:hAnsi="宋体" w:cs="宋体"/>
                <w:color w:val="000000"/>
                <w:kern w:val="0"/>
                <w:sz w:val="20"/>
                <w:szCs w:val="20"/>
                <w:lang w:bidi="ar"/>
              </w:rPr>
              <w:t>管理</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999110078</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人工</w:t>
            </w:r>
            <w:r>
              <w:rPr>
                <w:rFonts w:ascii="宋体" w:hAnsi="宋体" w:cs="宋体"/>
                <w:color w:val="000000"/>
                <w:kern w:val="0"/>
                <w:sz w:val="20"/>
                <w:szCs w:val="20"/>
                <w:lang w:bidi="ar"/>
              </w:rPr>
              <w:t>智能</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w:t>
            </w:r>
            <w:r>
              <w:rPr>
                <w:rFonts w:ascii="宋体" w:hAnsi="宋体" w:cs="宋体"/>
                <w:color w:val="FF0000"/>
                <w:szCs w:val="21"/>
              </w:rPr>
              <w:t>79</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人人</w:t>
            </w:r>
            <w:r>
              <w:rPr>
                <w:rFonts w:ascii="宋体" w:hAnsi="宋体" w:cs="宋体"/>
                <w:color w:val="000000"/>
                <w:kern w:val="0"/>
                <w:sz w:val="20"/>
                <w:szCs w:val="20"/>
                <w:lang w:bidi="ar"/>
              </w:rPr>
              <w:t>爱设计</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999110074</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时尚与</w:t>
            </w:r>
            <w:r>
              <w:rPr>
                <w:rFonts w:ascii="宋体" w:hAnsi="宋体" w:cs="宋体"/>
                <w:color w:val="000000"/>
                <w:kern w:val="0"/>
                <w:sz w:val="20"/>
                <w:szCs w:val="20"/>
                <w:lang w:bidi="ar"/>
              </w:rPr>
              <w:t>品牌</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999110083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网络</w:t>
            </w:r>
            <w:r>
              <w:rPr>
                <w:rFonts w:ascii="宋体" w:hAnsi="宋体" w:cs="宋体"/>
                <w:color w:val="000000"/>
                <w:kern w:val="0"/>
                <w:sz w:val="20"/>
                <w:szCs w:val="20"/>
                <w:lang w:bidi="ar"/>
              </w:rPr>
              <w:t>安全技术</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999110082</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有效</w:t>
            </w:r>
            <w:r>
              <w:rPr>
                <w:rFonts w:ascii="宋体" w:hAnsi="宋体" w:cs="宋体"/>
                <w:color w:val="000000"/>
                <w:kern w:val="0"/>
                <w:sz w:val="20"/>
                <w:szCs w:val="20"/>
                <w:lang w:bidi="ar"/>
              </w:rPr>
              <w:t>沟通技巧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999110076</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w:t>
            </w:r>
            <w:r>
              <w:rPr>
                <w:rFonts w:ascii="宋体" w:hAnsi="宋体" w:cs="宋体"/>
                <w:color w:val="000000"/>
                <w:kern w:val="0"/>
                <w:sz w:val="20"/>
                <w:szCs w:val="20"/>
                <w:lang w:bidi="ar"/>
              </w:rPr>
              <w:t>当代小说选读</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999110077</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中国古建筑</w:t>
            </w:r>
            <w:r>
              <w:rPr>
                <w:rFonts w:ascii="宋体" w:hAnsi="宋体" w:cs="宋体"/>
                <w:color w:val="000000"/>
                <w:kern w:val="0"/>
                <w:sz w:val="20"/>
                <w:szCs w:val="20"/>
                <w:lang w:bidi="ar"/>
              </w:rPr>
              <w:t>欣赏与设计</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ascii="宋体" w:hAnsi="宋体" w:cs="宋体"/>
                <w:color w:val="FF0000"/>
                <w:szCs w:val="21"/>
              </w:rPr>
              <w:t>999110088</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中国共产党党史</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w:t>
            </w:r>
            <w:r>
              <w:rPr>
                <w:rFonts w:ascii="宋体" w:hAnsi="宋体" w:cs="宋体"/>
                <w:color w:val="FF0000"/>
                <w:spacing w:val="-6"/>
                <w:szCs w:val="21"/>
              </w:rPr>
              <w:t>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999110090</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民族舞</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999110089</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中国画写意花鸟</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999110091</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奥尔夫音乐声势律动</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999110092</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color w:val="FF0000"/>
                <w:kern w:val="0"/>
                <w:sz w:val="20"/>
                <w:szCs w:val="20"/>
                <w:lang w:bidi="ar"/>
              </w:rPr>
            </w:pPr>
            <w:r>
              <w:rPr>
                <w:rFonts w:hint="eastAsia" w:ascii="宋体" w:hAnsi="宋体" w:cs="宋体"/>
                <w:color w:val="FF0000"/>
                <w:kern w:val="0"/>
                <w:sz w:val="20"/>
                <w:szCs w:val="20"/>
                <w:lang w:bidi="ar"/>
              </w:rPr>
              <w:t>西方</w:t>
            </w:r>
            <w:r>
              <w:rPr>
                <w:rFonts w:ascii="宋体" w:hAnsi="宋体" w:cs="宋体"/>
                <w:color w:val="FF0000"/>
                <w:kern w:val="0"/>
                <w:sz w:val="20"/>
                <w:szCs w:val="20"/>
                <w:lang w:bidi="ar"/>
              </w:rPr>
              <w:t>文化名著导读</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999110093</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color w:val="FF0000"/>
                <w:kern w:val="0"/>
                <w:sz w:val="20"/>
                <w:szCs w:val="20"/>
                <w:lang w:bidi="ar"/>
              </w:rPr>
            </w:pPr>
            <w:r>
              <w:rPr>
                <w:rFonts w:hint="eastAsia" w:ascii="宋体" w:hAnsi="宋体" w:cs="宋体"/>
                <w:color w:val="FF0000"/>
                <w:kern w:val="0"/>
                <w:sz w:val="20"/>
                <w:szCs w:val="20"/>
                <w:lang w:bidi="ar"/>
              </w:rPr>
              <w:t>创新</w:t>
            </w:r>
            <w:r>
              <w:rPr>
                <w:rFonts w:ascii="宋体" w:hAnsi="宋体" w:cs="宋体"/>
                <w:color w:val="FF0000"/>
                <w:kern w:val="0"/>
                <w:sz w:val="20"/>
                <w:szCs w:val="20"/>
                <w:lang w:bidi="ar"/>
              </w:rPr>
              <w:t>中国</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999110094</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color w:val="FF0000"/>
                <w:kern w:val="0"/>
                <w:sz w:val="20"/>
                <w:szCs w:val="20"/>
                <w:lang w:bidi="ar"/>
              </w:rPr>
            </w:pPr>
            <w:r>
              <w:rPr>
                <w:rFonts w:ascii="宋体" w:hAnsi="宋体" w:cs="宋体"/>
                <w:color w:val="FF0000"/>
                <w:kern w:val="0"/>
                <w:sz w:val="20"/>
                <w:szCs w:val="20"/>
                <w:lang w:bidi="ar"/>
              </w:rPr>
              <w:t>创新思维训练</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FF0000"/>
                <w:szCs w:val="21"/>
              </w:rPr>
              <w:t>999110094</w:t>
            </w:r>
          </w:p>
        </w:tc>
        <w:tc>
          <w:tcPr>
            <w:tcW w:w="21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color w:val="FF0000"/>
                <w:kern w:val="0"/>
                <w:sz w:val="20"/>
                <w:szCs w:val="20"/>
                <w:lang w:bidi="ar"/>
              </w:rPr>
            </w:pPr>
            <w:r>
              <w:rPr>
                <w:rFonts w:hint="eastAsia" w:ascii="宋体" w:hAnsi="宋体" w:cs="宋体"/>
                <w:color w:val="FF0000"/>
                <w:kern w:val="0"/>
                <w:sz w:val="20"/>
                <w:szCs w:val="20"/>
                <w:lang w:bidi="ar"/>
              </w:rPr>
              <w:t>大学生</w:t>
            </w:r>
            <w:r>
              <w:rPr>
                <w:rFonts w:ascii="宋体" w:hAnsi="宋体" w:cs="宋体"/>
                <w:color w:val="FF0000"/>
                <w:kern w:val="0"/>
                <w:sz w:val="20"/>
                <w:szCs w:val="20"/>
                <w:lang w:bidi="ar"/>
              </w:rPr>
              <w:t>恋爱与性健康</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FF0000"/>
                <w:spacing w:val="-6"/>
                <w:szCs w:val="21"/>
              </w:rPr>
            </w:pPr>
            <w:r>
              <w:rPr>
                <w:rFonts w:hint="eastAsia" w:ascii="宋体" w:hAnsi="宋体" w:cs="宋体"/>
                <w:color w:val="FF0000"/>
                <w:spacing w:val="-6"/>
                <w:szCs w:val="21"/>
              </w:rPr>
              <w:t>2</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FF0000"/>
                <w:spacing w:val="-6"/>
                <w:szCs w:val="21"/>
              </w:rPr>
            </w:pPr>
            <w:r>
              <w:rPr>
                <w:rFonts w:hint="eastAsia" w:ascii="宋体" w:hAnsi="宋体" w:cs="宋体"/>
                <w:color w:val="FF0000"/>
                <w:spacing w:val="-6"/>
                <w:szCs w:val="21"/>
              </w:rPr>
              <w:t>30</w:t>
            </w:r>
          </w:p>
        </w:tc>
        <w:tc>
          <w:tcPr>
            <w:tcW w:w="460" w:type="dxa"/>
            <w:tcBorders>
              <w:top w:val="single" w:color="auto" w:sz="4" w:space="0"/>
              <w:left w:val="single" w:color="auto" w:sz="4" w:space="0"/>
              <w:bottom w:val="single" w:color="auto" w:sz="4" w:space="0"/>
              <w:right w:val="single" w:color="auto" w:sz="4" w:space="0"/>
            </w:tcBorders>
            <w:vAlign w:val="center"/>
          </w:tcPr>
          <w:p>
            <w:pPr>
              <w:ind w:left="-105" w:leftChars="-50" w:right="-126" w:rightChars="-60"/>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ascii="宋体" w:hAnsi="宋体" w:cs="宋体"/>
                <w:color w:val="FF0000"/>
                <w:szCs w:val="21"/>
              </w:rPr>
              <w:t>*</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66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autoSpaceDE w:val="0"/>
              <w:autoSpaceDN w:val="0"/>
              <w:ind w:left="-57" w:right="-57"/>
              <w:jc w:val="center"/>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36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color w:val="FF0000"/>
                <w:szCs w:val="21"/>
              </w:rPr>
            </w:pPr>
            <w:r>
              <w:rPr>
                <w:rFonts w:hint="eastAsia" w:ascii="宋体" w:hAnsi="宋体" w:cs="宋体"/>
                <w:b/>
                <w:color w:val="FF0000"/>
                <w:szCs w:val="21"/>
              </w:rPr>
              <w:t>小    计</w:t>
            </w:r>
          </w:p>
        </w:tc>
        <w:tc>
          <w:tcPr>
            <w:tcW w:w="42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0000"/>
                <w:szCs w:val="21"/>
              </w:rPr>
            </w:pPr>
            <w:r>
              <w:rPr>
                <w:rFonts w:hint="eastAsia" w:ascii="宋体" w:hAnsi="宋体" w:cs="宋体"/>
                <w:color w:val="FF0000"/>
                <w:szCs w:val="21"/>
              </w:rPr>
              <w:t>4</w:t>
            </w:r>
          </w:p>
        </w:tc>
        <w:tc>
          <w:tcPr>
            <w:tcW w:w="60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0000"/>
                <w:szCs w:val="21"/>
              </w:rPr>
            </w:pPr>
            <w:r>
              <w:rPr>
                <w:rFonts w:hint="eastAsia" w:ascii="宋体" w:hAnsi="宋体" w:cs="宋体"/>
                <w:color w:val="FF0000"/>
                <w:szCs w:val="21"/>
              </w:rPr>
              <w:t>60</w:t>
            </w:r>
          </w:p>
        </w:tc>
        <w:tc>
          <w:tcPr>
            <w:tcW w:w="4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0000"/>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FF0000"/>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FF"/>
                <w:szCs w:val="21"/>
              </w:rPr>
            </w:pPr>
          </w:p>
        </w:tc>
        <w:tc>
          <w:tcPr>
            <w:tcW w:w="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FF"/>
                <w:szCs w:val="21"/>
              </w:rPr>
            </w:pPr>
          </w:p>
        </w:tc>
        <w:tc>
          <w:tcPr>
            <w:tcW w:w="4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FF"/>
                <w:szCs w:val="21"/>
              </w:rPr>
            </w:pPr>
          </w:p>
        </w:tc>
      </w:tr>
    </w:tbl>
    <w:p>
      <w:pPr>
        <w:spacing w:line="440" w:lineRule="atLeast"/>
        <w:rPr>
          <w:rFonts w:ascii="宋体" w:hAnsi="宋体"/>
          <w:color w:val="FF0000"/>
          <w:sz w:val="24"/>
        </w:rPr>
      </w:pPr>
      <w:r>
        <w:rPr>
          <w:rFonts w:hint="eastAsia" w:ascii="宋体" w:hAnsi="宋体"/>
          <w:color w:val="FF0000"/>
          <w:sz w:val="24"/>
        </w:rPr>
        <w:t>备注：文化素质选修课程第二学期开课，学生在校期间均可选修，须获得4学分，60学时。</w:t>
      </w:r>
    </w:p>
    <w:p>
      <w:pPr>
        <w:spacing w:line="440" w:lineRule="atLeast"/>
        <w:rPr>
          <w:rFonts w:ascii="宋体" w:hAnsi="宋体"/>
          <w:sz w:val="24"/>
        </w:rPr>
      </w:pPr>
    </w:p>
    <w:p>
      <w:pPr>
        <w:rPr>
          <w:rFonts w:hint="eastAsia" w:ascii="宋体" w:hAnsi="宋体"/>
          <w:color w:val="FF0000"/>
          <w:sz w:val="24"/>
        </w:rPr>
      </w:pPr>
      <w:r>
        <w:rPr>
          <w:rFonts w:hint="eastAsia" w:ascii="宋体" w:hAnsi="宋体"/>
          <w:color w:val="FF0000"/>
          <w:sz w:val="24"/>
        </w:rPr>
        <w:br w:type="page"/>
      </w:r>
    </w:p>
    <w:p>
      <w:pPr>
        <w:spacing w:line="440" w:lineRule="atLeast"/>
        <w:rPr>
          <w:rFonts w:ascii="宋体" w:hAnsi="宋体"/>
          <w:color w:val="FF0000"/>
          <w:sz w:val="24"/>
        </w:rPr>
      </w:pPr>
      <w:r>
        <w:rPr>
          <w:rFonts w:hint="eastAsia" w:ascii="宋体" w:hAnsi="宋体"/>
          <w:color w:val="FF0000"/>
          <w:sz w:val="24"/>
        </w:rPr>
        <w:t>附表5 ：素质教育活动学分分配表</w:t>
      </w:r>
      <w:bookmarkEnd w:id="155"/>
    </w:p>
    <w:p>
      <w:pPr>
        <w:spacing w:line="440" w:lineRule="atLeast"/>
        <w:ind w:firstLine="723" w:firstLineChars="200"/>
        <w:rPr>
          <w:rFonts w:ascii="宋体" w:hAnsi="宋体"/>
          <w:color w:val="FF0000"/>
          <w:sz w:val="24"/>
        </w:rPr>
      </w:pPr>
      <w:r>
        <w:rPr>
          <w:rFonts w:hint="eastAsia" w:ascii="黑体" w:hAnsi="宋体" w:eastAsia="黑体"/>
          <w:b/>
          <w:color w:val="FF0000"/>
          <w:sz w:val="36"/>
          <w:szCs w:val="36"/>
        </w:rPr>
        <w:t xml:space="preserve"> </w:t>
      </w:r>
      <w:bookmarkStart w:id="156" w:name="_Toc2847_WPSOffice_Level1"/>
      <w:r>
        <w:rPr>
          <w:rFonts w:hint="eastAsia" w:ascii="黑体" w:hAnsi="宋体" w:eastAsia="黑体"/>
          <w:b/>
          <w:color w:val="FF0000"/>
          <w:sz w:val="36"/>
          <w:szCs w:val="36"/>
        </w:rPr>
        <w:t>金融科技应用专业素质教育活动学分分配表</w:t>
      </w:r>
      <w:bookmarkEnd w:id="156"/>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411"/>
        <w:gridCol w:w="2812"/>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类 别</w:t>
            </w:r>
          </w:p>
        </w:tc>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项  目</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学  分</w:t>
            </w:r>
          </w:p>
        </w:tc>
        <w:tc>
          <w:tcPr>
            <w:tcW w:w="2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FF0000"/>
                <w:szCs w:val="21"/>
              </w:rPr>
            </w:pPr>
            <w:r>
              <w:rPr>
                <w:rFonts w:hint="eastAsia" w:ascii="宋体" w:hAnsi="宋体" w:cs="宋体"/>
                <w:b/>
                <w:color w:val="FF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人文与专业素质讲座和活动</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院组织的人文素质讲座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1学分∕2次</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本类至少要求3学分，最多计5学分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系组织的专业素质讲座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1学分∕2次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校园科技文化艺术活动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1学分∕1次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学生社团活动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1学分∕1个</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实践</w:t>
            </w:r>
          </w:p>
          <w:p>
            <w:pPr>
              <w:rPr>
                <w:rFonts w:ascii="宋体" w:hAnsi="宋体" w:cs="宋体"/>
                <w:color w:val="FF0000"/>
                <w:szCs w:val="21"/>
              </w:rPr>
            </w:pPr>
            <w:r>
              <w:rPr>
                <w:rFonts w:hint="eastAsia" w:ascii="宋体" w:hAnsi="宋体" w:cs="宋体"/>
                <w:color w:val="FF0000"/>
                <w:szCs w:val="21"/>
              </w:rPr>
              <w:t>创新</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暑期“三下乡”活动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2学分∕次</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本类至少要求2学分，最多计4学分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志愿者活动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院级2学分∕次</w:t>
            </w:r>
          </w:p>
          <w:p>
            <w:pPr>
              <w:rPr>
                <w:rFonts w:ascii="宋体" w:hAnsi="宋体" w:cs="宋体"/>
                <w:color w:val="000000"/>
                <w:szCs w:val="21"/>
              </w:rPr>
            </w:pPr>
            <w:r>
              <w:rPr>
                <w:rFonts w:hint="eastAsia" w:ascii="宋体" w:hAnsi="宋体" w:cs="宋体"/>
                <w:color w:val="000000"/>
                <w:szCs w:val="21"/>
              </w:rPr>
              <w:t>以上4学分∕次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大学生实践创新项目</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院级2学分∕个</w:t>
            </w:r>
          </w:p>
          <w:p>
            <w:pPr>
              <w:rPr>
                <w:rFonts w:ascii="宋体" w:hAnsi="宋体" w:cs="宋体"/>
                <w:color w:val="000000"/>
                <w:szCs w:val="21"/>
              </w:rPr>
            </w:pPr>
            <w:r>
              <w:rPr>
                <w:rFonts w:hint="eastAsia" w:ascii="宋体" w:hAnsi="宋体" w:cs="宋体"/>
                <w:color w:val="000000"/>
                <w:szCs w:val="21"/>
              </w:rPr>
              <w:t>以上4学分∕次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科技、文化、技能、创新等比赛获奖</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院级1学分∕次</w:t>
            </w:r>
          </w:p>
          <w:p>
            <w:pPr>
              <w:rPr>
                <w:rFonts w:ascii="宋体" w:hAnsi="宋体" w:cs="宋体"/>
                <w:color w:val="000000"/>
                <w:szCs w:val="21"/>
              </w:rPr>
            </w:pPr>
            <w:r>
              <w:rPr>
                <w:rFonts w:hint="eastAsia" w:ascii="宋体" w:hAnsi="宋体" w:cs="宋体"/>
                <w:color w:val="000000"/>
                <w:szCs w:val="21"/>
              </w:rPr>
              <w:t>以上2-4学分∕次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发表论文、获得专利</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院级2学分∕篇（个）</w:t>
            </w:r>
          </w:p>
          <w:p>
            <w:pPr>
              <w:rPr>
                <w:rFonts w:ascii="宋体" w:hAnsi="宋体" w:cs="宋体"/>
                <w:color w:val="000000"/>
                <w:szCs w:val="21"/>
              </w:rPr>
            </w:pPr>
            <w:r>
              <w:rPr>
                <w:rFonts w:hint="eastAsia" w:ascii="宋体" w:hAnsi="宋体" w:cs="宋体"/>
                <w:color w:val="000000"/>
                <w:szCs w:val="21"/>
              </w:rPr>
              <w:t>以上4学分∕篇（个）</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素质技能考证</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英语A、B级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2-4学分</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本类没有最低学分要求，取得该类学分可以与其他类学分互换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英语四六级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5-10学分</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职业资格（技能）证书</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2学分∕证</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5" w:type="dxa"/>
            <w:vMerge w:val="restart"/>
            <w:tcBorders>
              <w:top w:val="single" w:color="auto" w:sz="4" w:space="0"/>
              <w:left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素质拓展训练</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学院素质拓展项目</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2学分</w:t>
            </w:r>
          </w:p>
        </w:tc>
        <w:tc>
          <w:tcPr>
            <w:tcW w:w="2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符合身体条件的学生，该学分为必须取得学分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5" w:type="dxa"/>
            <w:vMerge w:val="continue"/>
            <w:tcBorders>
              <w:left w:val="single" w:color="auto" w:sz="4" w:space="0"/>
              <w:bottom w:val="single" w:color="auto" w:sz="4" w:space="0"/>
              <w:right w:val="single" w:color="auto" w:sz="4" w:space="0"/>
            </w:tcBorders>
            <w:vAlign w:val="center"/>
          </w:tcPr>
          <w:p>
            <w:pPr>
              <w:rPr>
                <w:rFonts w:ascii="宋体" w:hAnsi="宋体" w:cs="宋体"/>
                <w:color w:val="FF0000"/>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ascii="宋体" w:hAnsi="宋体" w:cs="宋体"/>
                <w:color w:val="FF0000"/>
                <w:szCs w:val="21"/>
              </w:rPr>
              <w:t>“</w:t>
            </w:r>
            <w:r>
              <w:rPr>
                <w:rFonts w:hint="eastAsia" w:ascii="宋体" w:hAnsi="宋体" w:cs="宋体"/>
                <w:color w:val="FF0000"/>
                <w:szCs w:val="21"/>
              </w:rPr>
              <w:t>品读</w:t>
            </w:r>
            <w:r>
              <w:rPr>
                <w:rFonts w:ascii="宋体" w:hAnsi="宋体" w:cs="宋体"/>
                <w:color w:val="FF0000"/>
                <w:szCs w:val="21"/>
              </w:rPr>
              <w:t>百书”</w:t>
            </w:r>
            <w:r>
              <w:rPr>
                <w:rFonts w:hint="eastAsia" w:ascii="宋体" w:hAnsi="宋体" w:cs="宋体"/>
                <w:color w:val="FF0000"/>
                <w:szCs w:val="21"/>
              </w:rPr>
              <w:t>素质</w:t>
            </w:r>
            <w:r>
              <w:rPr>
                <w:rFonts w:ascii="宋体" w:hAnsi="宋体" w:cs="宋体"/>
                <w:color w:val="FF0000"/>
                <w:szCs w:val="21"/>
              </w:rPr>
              <w:t>教育</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ascii="宋体" w:hAnsi="宋体" w:cs="宋体"/>
                <w:color w:val="FF0000"/>
                <w:szCs w:val="21"/>
              </w:rPr>
              <w:t>4</w:t>
            </w:r>
            <w:r>
              <w:rPr>
                <w:rFonts w:hint="eastAsia" w:ascii="宋体" w:hAnsi="宋体" w:cs="宋体"/>
                <w:color w:val="FF0000"/>
                <w:szCs w:val="21"/>
              </w:rPr>
              <w:t>学分</w:t>
            </w:r>
          </w:p>
        </w:tc>
        <w:tc>
          <w:tcPr>
            <w:tcW w:w="2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FF0000"/>
                <w:szCs w:val="21"/>
              </w:rPr>
              <w:t>该学分为必须取得学分</w:t>
            </w:r>
          </w:p>
        </w:tc>
      </w:tr>
    </w:tbl>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rPr>
          <w:rFonts w:hint="eastAsia" w:ascii="宋体" w:hAnsi="宋体"/>
          <w:sz w:val="24"/>
        </w:rPr>
      </w:pPr>
      <w:r>
        <w:rPr>
          <w:rFonts w:hint="eastAsia" w:ascii="宋体" w:hAnsi="宋体"/>
          <w:sz w:val="24"/>
        </w:rPr>
        <w:br w:type="page"/>
      </w:r>
    </w:p>
    <w:p>
      <w:pPr>
        <w:spacing w:line="440" w:lineRule="atLeast"/>
        <w:rPr>
          <w:rFonts w:ascii="宋体" w:hAnsi="宋体"/>
          <w:sz w:val="24"/>
        </w:rPr>
      </w:pPr>
      <w:r>
        <w:rPr>
          <w:rFonts w:hint="eastAsia" w:ascii="宋体" w:hAnsi="宋体"/>
          <w:sz w:val="24"/>
        </w:rPr>
        <w:t>附表6 ：劳动周时间分配表</w:t>
      </w:r>
    </w:p>
    <w:tbl>
      <w:tblPr>
        <w:tblStyle w:val="26"/>
        <w:tblW w:w="8946" w:type="dxa"/>
        <w:tblInd w:w="0" w:type="dxa"/>
        <w:tblLayout w:type="autofit"/>
        <w:tblCellMar>
          <w:top w:w="0" w:type="dxa"/>
          <w:left w:w="0" w:type="dxa"/>
          <w:bottom w:w="0" w:type="dxa"/>
          <w:right w:w="0" w:type="dxa"/>
        </w:tblCellMar>
      </w:tblPr>
      <w:tblGrid>
        <w:gridCol w:w="905"/>
        <w:gridCol w:w="1397"/>
        <w:gridCol w:w="3253"/>
        <w:gridCol w:w="3391"/>
      </w:tblGrid>
      <w:tr>
        <w:tblPrEx>
          <w:tblCellMar>
            <w:top w:w="0" w:type="dxa"/>
            <w:left w:w="0" w:type="dxa"/>
            <w:bottom w:w="0" w:type="dxa"/>
            <w:right w:w="0" w:type="dxa"/>
          </w:tblCellMar>
        </w:tblPrEx>
        <w:trPr>
          <w:trHeight w:val="427"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FF0000"/>
                <w:szCs w:val="21"/>
              </w:rPr>
            </w:pPr>
            <w:r>
              <w:rPr>
                <w:rFonts w:hint="eastAsia" w:ascii="宋体" w:hAnsi="宋体" w:cs="宋体"/>
                <w:b/>
                <w:color w:val="FF0000"/>
                <w:kern w:val="0"/>
                <w:szCs w:val="21"/>
                <w:lang w:bidi="ar"/>
              </w:rPr>
              <w:t>周次</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FF0000"/>
                <w:szCs w:val="21"/>
              </w:rPr>
            </w:pPr>
            <w:r>
              <w:rPr>
                <w:rFonts w:hint="eastAsia" w:ascii="宋体" w:hAnsi="宋体" w:cs="宋体"/>
                <w:b/>
                <w:color w:val="FF0000"/>
                <w:kern w:val="0"/>
                <w:szCs w:val="21"/>
                <w:lang w:bidi="ar"/>
              </w:rPr>
              <w:t>学院</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FF0000"/>
                <w:szCs w:val="21"/>
              </w:rPr>
            </w:pPr>
            <w:r>
              <w:rPr>
                <w:rFonts w:hint="eastAsia" w:ascii="宋体" w:hAnsi="宋体" w:cs="宋体"/>
                <w:b/>
                <w:color w:val="FF0000"/>
                <w:kern w:val="0"/>
                <w:szCs w:val="21"/>
                <w:lang w:bidi="ar"/>
              </w:rPr>
              <w:t>专业</w:t>
            </w:r>
          </w:p>
        </w:tc>
        <w:tc>
          <w:tcPr>
            <w:tcW w:w="3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FF0000"/>
                <w:sz w:val="24"/>
              </w:rPr>
            </w:pPr>
            <w:r>
              <w:rPr>
                <w:rFonts w:hint="eastAsia" w:ascii="宋体" w:hAnsi="宋体" w:cs="宋体"/>
                <w:b/>
                <w:color w:val="FF0000"/>
                <w:kern w:val="0"/>
                <w:sz w:val="24"/>
                <w:lang w:bidi="ar"/>
              </w:rPr>
              <w:t>劳动周主要内容</w:t>
            </w: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6</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商业管理学院（2021-2022第二学期）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现代物流管理</w:t>
            </w:r>
          </w:p>
        </w:tc>
        <w:tc>
          <w:tcPr>
            <w:tcW w:w="3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等线" w:hAnsi="等线" w:eastAsia="等线" w:cs="等线"/>
                <w:color w:val="FF0000"/>
                <w:sz w:val="22"/>
                <w:szCs w:val="22"/>
              </w:rPr>
            </w:pPr>
            <w:r>
              <w:rPr>
                <w:rFonts w:hint="eastAsia" w:ascii="等线" w:hAnsi="等线" w:eastAsia="等线" w:cs="等线"/>
                <w:color w:val="FF0000"/>
                <w:kern w:val="0"/>
                <w:sz w:val="22"/>
                <w:szCs w:val="22"/>
                <w:lang w:bidi="ar"/>
              </w:rPr>
              <w:t>1</w:t>
            </w:r>
            <w:r>
              <w:rPr>
                <w:rFonts w:hint="eastAsia" w:ascii="宋体" w:hAnsi="宋体" w:cs="宋体"/>
                <w:color w:val="FF0000"/>
                <w:kern w:val="0"/>
                <w:szCs w:val="21"/>
                <w:lang w:bidi="ar"/>
              </w:rPr>
              <w:t>.理论教学：</w:t>
            </w:r>
            <w:r>
              <w:rPr>
                <w:rFonts w:hint="eastAsia" w:ascii="宋体" w:hAnsi="宋体" w:cs="宋体"/>
                <w:color w:val="FF0000"/>
                <w:kern w:val="0"/>
                <w:szCs w:val="21"/>
                <w:lang w:bidi="ar"/>
              </w:rPr>
              <w:br w:type="textWrapping"/>
            </w:r>
            <w:r>
              <w:rPr>
                <w:rFonts w:hint="eastAsia" w:ascii="宋体" w:hAnsi="宋体" w:cs="宋体"/>
                <w:color w:val="FF0000"/>
                <w:kern w:val="0"/>
                <w:szCs w:val="21"/>
                <w:lang w:bidi="ar"/>
              </w:rPr>
              <w:t xml:space="preserve">    以实习实训课为主要载体开展劳动教育，其中劳动精神、劳模精神、工匠精神</w:t>
            </w:r>
            <w:r>
              <w:rPr>
                <w:rFonts w:hint="eastAsia" w:ascii="宋体" w:hAnsi="宋体" w:cs="宋体"/>
                <w:color w:val="FF0000"/>
                <w:kern w:val="0"/>
                <w:szCs w:val="21"/>
                <w:lang w:bidi="ar"/>
              </w:rPr>
              <w:br w:type="textWrapping"/>
            </w:r>
            <w:r>
              <w:rPr>
                <w:rFonts w:hint="eastAsia" w:ascii="宋体" w:hAnsi="宋体" w:cs="宋体"/>
                <w:color w:val="FF0000"/>
                <w:kern w:val="0"/>
                <w:szCs w:val="21"/>
                <w:lang w:bidi="ar"/>
              </w:rPr>
              <w:t>专题教育不少于16学时。</w:t>
            </w:r>
            <w:r>
              <w:rPr>
                <w:rFonts w:hint="eastAsia" w:ascii="宋体" w:hAnsi="宋体" w:cs="宋体"/>
                <w:color w:val="FF0000"/>
                <w:kern w:val="0"/>
                <w:szCs w:val="21"/>
                <w:lang w:bidi="ar"/>
              </w:rPr>
              <w:br w:type="textWrapping"/>
            </w:r>
            <w:r>
              <w:rPr>
                <w:rFonts w:hint="eastAsia" w:ascii="宋体" w:hAnsi="宋体" w:cs="宋体"/>
                <w:color w:val="FF0000"/>
                <w:kern w:val="0"/>
                <w:szCs w:val="21"/>
                <w:lang w:bidi="ar"/>
              </w:rPr>
              <w:t>2.实践教育：</w:t>
            </w:r>
            <w:r>
              <w:rPr>
                <w:rFonts w:hint="eastAsia" w:ascii="宋体" w:hAnsi="宋体" w:cs="宋体"/>
                <w:color w:val="FF0000"/>
                <w:kern w:val="0"/>
                <w:szCs w:val="21"/>
                <w:lang w:bidi="ar"/>
              </w:rPr>
              <w:br w:type="textWrapping"/>
            </w:r>
            <w:r>
              <w:rPr>
                <w:rFonts w:hint="eastAsia" w:ascii="宋体" w:hAnsi="宋体" w:cs="宋体"/>
                <w:color w:val="FF0000"/>
                <w:kern w:val="0"/>
                <w:szCs w:val="21"/>
                <w:lang w:bidi="ar"/>
              </w:rPr>
              <w:t xml:space="preserve">  （1）学院室内、外环境卫生清扫及维护。</w:t>
            </w:r>
            <w:r>
              <w:rPr>
                <w:rFonts w:hint="eastAsia" w:ascii="宋体" w:hAnsi="宋体" w:cs="宋体"/>
                <w:color w:val="FF0000"/>
                <w:kern w:val="0"/>
                <w:szCs w:val="21"/>
                <w:lang w:bidi="ar"/>
              </w:rPr>
              <w:br w:type="textWrapping"/>
            </w:r>
            <w:r>
              <w:rPr>
                <w:rFonts w:hint="eastAsia" w:ascii="宋体" w:hAnsi="宋体" w:cs="宋体"/>
                <w:color w:val="FF0000"/>
                <w:kern w:val="0"/>
                <w:szCs w:val="21"/>
                <w:lang w:bidi="ar"/>
              </w:rPr>
              <w:t>室内卫生区域： 教学楼、综合楼、实训楼、</w:t>
            </w:r>
            <w:r>
              <w:rPr>
                <w:rFonts w:hint="eastAsia" w:ascii="宋体" w:hAnsi="宋体" w:cs="宋体"/>
                <w:color w:val="FF0000"/>
                <w:kern w:val="0"/>
                <w:szCs w:val="21"/>
                <w:lang w:bidi="ar"/>
              </w:rPr>
              <w:br w:type="textWrapping"/>
            </w:r>
            <w:r>
              <w:rPr>
                <w:rFonts w:hint="eastAsia" w:ascii="宋体" w:hAnsi="宋体" w:cs="宋体"/>
                <w:color w:val="FF0000"/>
                <w:kern w:val="0"/>
                <w:szCs w:val="21"/>
                <w:lang w:bidi="ar"/>
              </w:rPr>
              <w:t>图书馆、报告厅、宿舍楼、食堂等卫生清扫及维护工作。</w:t>
            </w:r>
            <w:r>
              <w:rPr>
                <w:rFonts w:hint="eastAsia" w:ascii="宋体" w:hAnsi="宋体" w:cs="宋体"/>
                <w:color w:val="FF0000"/>
                <w:kern w:val="0"/>
                <w:szCs w:val="21"/>
                <w:lang w:bidi="ar"/>
              </w:rPr>
              <w:br w:type="textWrapping"/>
            </w:r>
            <w:r>
              <w:rPr>
                <w:rFonts w:hint="eastAsia" w:ascii="宋体" w:hAnsi="宋体" w:cs="宋体"/>
                <w:color w:val="FF0000"/>
                <w:kern w:val="0"/>
                <w:szCs w:val="21"/>
                <w:lang w:bidi="ar"/>
              </w:rPr>
              <w:t>室外卫生区域：包括各二级学院室外分担区以及</w:t>
            </w:r>
            <w:r>
              <w:rPr>
                <w:rFonts w:hint="eastAsia" w:ascii="宋体" w:hAnsi="宋体" w:cs="宋体"/>
                <w:color w:val="FF0000"/>
                <w:kern w:val="0"/>
                <w:szCs w:val="21"/>
                <w:lang w:bidi="ar"/>
              </w:rPr>
              <w:br w:type="textWrapping"/>
            </w:r>
            <w:r>
              <w:rPr>
                <w:rFonts w:hint="eastAsia" w:ascii="宋体" w:hAnsi="宋体" w:cs="宋体"/>
                <w:color w:val="FF0000"/>
                <w:kern w:val="0"/>
                <w:szCs w:val="21"/>
                <w:lang w:bidi="ar"/>
              </w:rPr>
              <w:t>其他校园公共区域的卫生清扫及维护工作。</w:t>
            </w:r>
            <w:r>
              <w:rPr>
                <w:rFonts w:hint="eastAsia" w:ascii="宋体" w:hAnsi="宋体" w:cs="宋体"/>
                <w:color w:val="FF0000"/>
                <w:kern w:val="0"/>
                <w:szCs w:val="21"/>
                <w:lang w:bidi="ar"/>
              </w:rPr>
              <w:br w:type="textWrapping"/>
            </w:r>
            <w:r>
              <w:rPr>
                <w:rFonts w:hint="eastAsia" w:ascii="宋体" w:hAnsi="宋体" w:cs="宋体"/>
                <w:color w:val="FF0000"/>
                <w:kern w:val="0"/>
                <w:szCs w:val="21"/>
                <w:lang w:bidi="ar"/>
              </w:rPr>
              <w:t xml:space="preserve">  （2）常规性的校园卫生清扫及维护工作。</w:t>
            </w:r>
            <w:r>
              <w:rPr>
                <w:rFonts w:hint="eastAsia" w:ascii="宋体" w:hAnsi="宋体" w:cs="宋体"/>
                <w:color w:val="FF0000"/>
                <w:kern w:val="0"/>
                <w:szCs w:val="21"/>
                <w:lang w:bidi="ar"/>
              </w:rPr>
              <w:br w:type="textWrapping"/>
            </w:r>
            <w:r>
              <w:rPr>
                <w:rFonts w:hint="eastAsia" w:ascii="宋体" w:hAnsi="宋体" w:cs="宋体"/>
                <w:color w:val="FF0000"/>
                <w:kern w:val="0"/>
                <w:szCs w:val="21"/>
                <w:lang w:bidi="ar"/>
              </w:rPr>
              <w:t xml:space="preserve">  （3）引导学生文明出行。</w:t>
            </w:r>
            <w:r>
              <w:rPr>
                <w:rFonts w:hint="eastAsia" w:ascii="宋体" w:hAnsi="宋体" w:cs="宋体"/>
                <w:color w:val="FF0000"/>
                <w:kern w:val="0"/>
                <w:szCs w:val="21"/>
                <w:lang w:bidi="ar"/>
              </w:rPr>
              <w:br w:type="textWrapping"/>
            </w:r>
            <w:r>
              <w:rPr>
                <w:rFonts w:hint="eastAsia" w:ascii="宋体" w:hAnsi="宋体" w:cs="宋体"/>
                <w:color w:val="FF0000"/>
                <w:kern w:val="0"/>
                <w:szCs w:val="21"/>
                <w:lang w:bidi="ar"/>
              </w:rPr>
              <w:t xml:space="preserve">  （4）其他临时性的工作。</w:t>
            </w: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7</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连锁经营与管理</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8</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会计信息管理</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9</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汽车技术服务与营销</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10</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金融科技</w:t>
            </w:r>
            <w:r>
              <w:rPr>
                <w:rFonts w:ascii="宋体" w:hAnsi="宋体" w:cs="宋体"/>
                <w:color w:val="FF0000"/>
                <w:kern w:val="0"/>
                <w:szCs w:val="21"/>
                <w:lang w:bidi="ar"/>
              </w:rPr>
              <w:t>应用</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11</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电子商务</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12</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旅游管理学院</w:t>
            </w:r>
          </w:p>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（2021-2022第二学期）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旅游管理</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13</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酒店管理与</w:t>
            </w:r>
            <w:r>
              <w:rPr>
                <w:rFonts w:ascii="宋体" w:hAnsi="宋体" w:cs="宋体"/>
                <w:color w:val="FF0000"/>
                <w:kern w:val="0"/>
                <w:szCs w:val="21"/>
                <w:lang w:bidi="ar"/>
              </w:rPr>
              <w:t>数字化运营</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14</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空中乘务</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5</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烹饪学院</w:t>
            </w:r>
          </w:p>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（2021-2022第三学期）</w:t>
            </w:r>
          </w:p>
        </w:tc>
        <w:tc>
          <w:tcPr>
            <w:tcW w:w="3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烹饪工艺与营养(中餐烹调)</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6</w:t>
            </w:r>
          </w:p>
        </w:tc>
        <w:tc>
          <w:tcPr>
            <w:tcW w:w="1397"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kern w:val="0"/>
                <w:szCs w:val="21"/>
                <w:lang w:bidi="ar"/>
              </w:rPr>
            </w:pPr>
          </w:p>
        </w:tc>
        <w:tc>
          <w:tcPr>
            <w:tcW w:w="3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烹饪工艺与营养（五年制）</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7</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烹饪工艺与营养(西餐烹调)</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8</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烹饪现代学徒制</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9</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食品检验检测技术</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10</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中西面点工艺</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11</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艺术设计学院(2021-2022第三学期）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人物形象设计</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12</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广告艺术设计</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13</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kern w:val="0"/>
                <w:szCs w:val="21"/>
                <w:lang w:bidi="ar"/>
              </w:rPr>
            </w:pPr>
            <w:r>
              <w:rPr>
                <w:rFonts w:hint="eastAsia" w:ascii="宋体" w:hAnsi="宋体" w:cs="宋体"/>
                <w:color w:val="FF0000"/>
                <w:kern w:val="0"/>
                <w:szCs w:val="21"/>
                <w:lang w:bidi="ar"/>
              </w:rPr>
              <w:t>软件技术</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r>
        <w:tblPrEx>
          <w:tblCellMar>
            <w:top w:w="0" w:type="dxa"/>
            <w:left w:w="0" w:type="dxa"/>
            <w:bottom w:w="0" w:type="dxa"/>
            <w:right w:w="0" w:type="dxa"/>
          </w:tblCellMar>
        </w:tblPrEx>
        <w:trPr>
          <w:trHeight w:val="543"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14</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FF0000"/>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lang w:bidi="ar"/>
              </w:rPr>
              <w:t>移动互联应用</w:t>
            </w:r>
            <w:r>
              <w:rPr>
                <w:rFonts w:ascii="宋体" w:hAnsi="宋体" w:cs="宋体"/>
                <w:color w:val="FF0000"/>
                <w:kern w:val="0"/>
                <w:szCs w:val="21"/>
                <w:lang w:bidi="ar"/>
              </w:rPr>
              <w:t>技术</w:t>
            </w:r>
            <w:r>
              <w:rPr>
                <w:rFonts w:hint="eastAsia" w:ascii="宋体" w:hAnsi="宋体" w:cs="宋体"/>
                <w:color w:val="FF0000"/>
                <w:kern w:val="0"/>
                <w:szCs w:val="21"/>
                <w:lang w:bidi="ar"/>
              </w:rPr>
              <w:t>/美容美体艺术</w:t>
            </w:r>
          </w:p>
        </w:tc>
        <w:tc>
          <w:tcPr>
            <w:tcW w:w="3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等线" w:hAnsi="等线" w:eastAsia="等线" w:cs="等线"/>
                <w:color w:val="FF0000"/>
                <w:sz w:val="22"/>
                <w:szCs w:val="22"/>
              </w:rPr>
            </w:pPr>
          </w:p>
        </w:tc>
      </w:tr>
    </w:tbl>
    <w:p>
      <w:pPr>
        <w:spacing w:line="440" w:lineRule="exact"/>
        <w:rPr>
          <w:rFonts w:ascii="仿宋_GB2312" w:eastAsia="仿宋_GB2312"/>
          <w:sz w:val="24"/>
        </w:rPr>
      </w:pPr>
    </w:p>
    <w:sectPr>
      <w:headerReference r:id="rId9" w:type="first"/>
      <w:pgSz w:w="11906" w:h="16838"/>
      <w:pgMar w:top="1701" w:right="1361" w:bottom="1361" w:left="1701"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华文楷体">
    <w:panose1 w:val="02010600040101010101"/>
    <w:charset w:val="86"/>
    <w:family w:val="auto"/>
    <w:pitch w:val="default"/>
    <w:sig w:usb0="00000287" w:usb1="080F0000" w:usb2="00000000" w:usb3="00000000" w:csb0="0004009F" w:csb1="DFD70000"/>
  </w:font>
  <w:font w:name="汉仪书宋一简">
    <w:altName w:val="宋体"/>
    <w:panose1 w:val="00000000000000000000"/>
    <w:charset w:val="86"/>
    <w:family w:val="modern"/>
    <w:pitch w:val="default"/>
    <w:sig w:usb0="00000000" w:usb1="00000000" w:usb2="00000012"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0"/>
        <w:sz w:val="21"/>
        <w:szCs w:val="21"/>
      </w:rPr>
    </w:pPr>
    <w:r>
      <w:rPr>
        <w:sz w:val="21"/>
        <w:szCs w:val="21"/>
      </w:rPr>
      <w:fldChar w:fldCharType="begin"/>
    </w:r>
    <w:r>
      <w:rPr>
        <w:rStyle w:val="30"/>
        <w:sz w:val="21"/>
        <w:szCs w:val="21"/>
      </w:rPr>
      <w:instrText xml:space="preserve">PAGE  </w:instrText>
    </w:r>
    <w:r>
      <w:rPr>
        <w:sz w:val="21"/>
        <w:szCs w:val="21"/>
      </w:rPr>
      <w:fldChar w:fldCharType="separate"/>
    </w:r>
    <w:r>
      <w:rPr>
        <w:rStyle w:val="30"/>
        <w:sz w:val="21"/>
        <w:szCs w:val="21"/>
      </w:rPr>
      <w:t>18</w:t>
    </w:r>
    <w:r>
      <w:rPr>
        <w:sz w:val="21"/>
        <w:szCs w:val="21"/>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0"/>
      </w:rPr>
    </w:pPr>
    <w:r>
      <w:fldChar w:fldCharType="begin"/>
    </w:r>
    <w:r>
      <w:rPr>
        <w:rStyle w:val="30"/>
      </w:rPr>
      <w:instrText xml:space="preserve">PAGE  </w:instrText>
    </w:r>
    <w:r>
      <w:fldChar w:fldCharType="separate"/>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rStyle w:val="30"/>
        <w:sz w:val="21"/>
        <w:szCs w:val="21"/>
      </w:rPr>
      <w:instrText xml:space="preserve"> PAGE </w:instrText>
    </w:r>
    <w:r>
      <w:rPr>
        <w:sz w:val="21"/>
        <w:szCs w:val="21"/>
      </w:rPr>
      <w:fldChar w:fldCharType="separate"/>
    </w:r>
    <w:r>
      <w:rPr>
        <w:rStyle w:val="30"/>
        <w:sz w:val="21"/>
        <w:szCs w:val="21"/>
      </w:rPr>
      <w:t>1</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pStyle w:val="83"/>
      <w:suff w:val="nothing"/>
      <w:lvlText w:val="%1、"/>
      <w:lvlJc w:val="left"/>
    </w:lvl>
  </w:abstractNum>
  <w:abstractNum w:abstractNumId="1">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DB00C3F"/>
    <w:multiLevelType w:val="multilevel"/>
    <w:tmpl w:val="4DB00C3F"/>
    <w:lvl w:ilvl="0" w:tentative="0">
      <w:start w:val="1"/>
      <w:numFmt w:val="japaneseCounting"/>
      <w:lvlText w:val="%1、"/>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501A"/>
    <w:rsid w:val="00057399"/>
    <w:rsid w:val="00066C33"/>
    <w:rsid w:val="000A6F69"/>
    <w:rsid w:val="000B4C4F"/>
    <w:rsid w:val="000B50D9"/>
    <w:rsid w:val="000B67F6"/>
    <w:rsid w:val="000C4DC1"/>
    <w:rsid w:val="000E551B"/>
    <w:rsid w:val="001073A5"/>
    <w:rsid w:val="00133A4A"/>
    <w:rsid w:val="00167938"/>
    <w:rsid w:val="00172A27"/>
    <w:rsid w:val="001A1EC1"/>
    <w:rsid w:val="001C770E"/>
    <w:rsid w:val="001D3D00"/>
    <w:rsid w:val="001E7D23"/>
    <w:rsid w:val="001F634E"/>
    <w:rsid w:val="002064EF"/>
    <w:rsid w:val="00243DA2"/>
    <w:rsid w:val="00247DC1"/>
    <w:rsid w:val="0027684C"/>
    <w:rsid w:val="0027726E"/>
    <w:rsid w:val="002969C1"/>
    <w:rsid w:val="002A7B4C"/>
    <w:rsid w:val="002B4D6F"/>
    <w:rsid w:val="002C659F"/>
    <w:rsid w:val="002F2F47"/>
    <w:rsid w:val="002F7BAC"/>
    <w:rsid w:val="003020F9"/>
    <w:rsid w:val="00315E26"/>
    <w:rsid w:val="003203FB"/>
    <w:rsid w:val="00321D20"/>
    <w:rsid w:val="00323747"/>
    <w:rsid w:val="00325D75"/>
    <w:rsid w:val="00333DD5"/>
    <w:rsid w:val="00363D62"/>
    <w:rsid w:val="00367430"/>
    <w:rsid w:val="003A1CCD"/>
    <w:rsid w:val="003A2A26"/>
    <w:rsid w:val="003A34AB"/>
    <w:rsid w:val="003C2D64"/>
    <w:rsid w:val="003D2718"/>
    <w:rsid w:val="003D4185"/>
    <w:rsid w:val="003E087F"/>
    <w:rsid w:val="003E6824"/>
    <w:rsid w:val="003F6AEF"/>
    <w:rsid w:val="00415927"/>
    <w:rsid w:val="00462893"/>
    <w:rsid w:val="004703C2"/>
    <w:rsid w:val="00482EAC"/>
    <w:rsid w:val="004C3216"/>
    <w:rsid w:val="004C33EE"/>
    <w:rsid w:val="004D2356"/>
    <w:rsid w:val="004D67E9"/>
    <w:rsid w:val="004D6DFE"/>
    <w:rsid w:val="004E4572"/>
    <w:rsid w:val="004F583C"/>
    <w:rsid w:val="005249D8"/>
    <w:rsid w:val="005302E0"/>
    <w:rsid w:val="0054324C"/>
    <w:rsid w:val="00551C80"/>
    <w:rsid w:val="00554F09"/>
    <w:rsid w:val="0055784F"/>
    <w:rsid w:val="00561FBD"/>
    <w:rsid w:val="00562847"/>
    <w:rsid w:val="00577F11"/>
    <w:rsid w:val="00590828"/>
    <w:rsid w:val="005B072A"/>
    <w:rsid w:val="005B12EF"/>
    <w:rsid w:val="005D460B"/>
    <w:rsid w:val="005D5E92"/>
    <w:rsid w:val="005E1A28"/>
    <w:rsid w:val="005F4418"/>
    <w:rsid w:val="0060639F"/>
    <w:rsid w:val="006150F4"/>
    <w:rsid w:val="00626049"/>
    <w:rsid w:val="00627A0C"/>
    <w:rsid w:val="00635AE2"/>
    <w:rsid w:val="00665DDA"/>
    <w:rsid w:val="00676C98"/>
    <w:rsid w:val="00677735"/>
    <w:rsid w:val="00680F71"/>
    <w:rsid w:val="00685254"/>
    <w:rsid w:val="00686C18"/>
    <w:rsid w:val="0069353D"/>
    <w:rsid w:val="00693A57"/>
    <w:rsid w:val="00694A3A"/>
    <w:rsid w:val="006A53D4"/>
    <w:rsid w:val="006B0177"/>
    <w:rsid w:val="006B6C69"/>
    <w:rsid w:val="006C04AA"/>
    <w:rsid w:val="006C1C93"/>
    <w:rsid w:val="006D1642"/>
    <w:rsid w:val="006D40B6"/>
    <w:rsid w:val="0070453F"/>
    <w:rsid w:val="00727560"/>
    <w:rsid w:val="0073568A"/>
    <w:rsid w:val="007366CE"/>
    <w:rsid w:val="00746A95"/>
    <w:rsid w:val="007A0FA1"/>
    <w:rsid w:val="007A2E8F"/>
    <w:rsid w:val="007A6CEC"/>
    <w:rsid w:val="007B3CE5"/>
    <w:rsid w:val="007B7C19"/>
    <w:rsid w:val="007C5DA4"/>
    <w:rsid w:val="007D2621"/>
    <w:rsid w:val="007D59AB"/>
    <w:rsid w:val="007E51BC"/>
    <w:rsid w:val="007F1403"/>
    <w:rsid w:val="0081361D"/>
    <w:rsid w:val="00834110"/>
    <w:rsid w:val="008346C9"/>
    <w:rsid w:val="00837B86"/>
    <w:rsid w:val="00855AA4"/>
    <w:rsid w:val="0085776C"/>
    <w:rsid w:val="008648B9"/>
    <w:rsid w:val="00897A1F"/>
    <w:rsid w:val="008A7017"/>
    <w:rsid w:val="008B5FE6"/>
    <w:rsid w:val="008E3602"/>
    <w:rsid w:val="009008A8"/>
    <w:rsid w:val="00907EA5"/>
    <w:rsid w:val="009173D1"/>
    <w:rsid w:val="009254F5"/>
    <w:rsid w:val="00933797"/>
    <w:rsid w:val="00933B11"/>
    <w:rsid w:val="009675E9"/>
    <w:rsid w:val="009726E7"/>
    <w:rsid w:val="00997469"/>
    <w:rsid w:val="009979A7"/>
    <w:rsid w:val="009A5E0E"/>
    <w:rsid w:val="009A752E"/>
    <w:rsid w:val="009B62B3"/>
    <w:rsid w:val="009F0675"/>
    <w:rsid w:val="009F43B4"/>
    <w:rsid w:val="009F7CF6"/>
    <w:rsid w:val="00A12074"/>
    <w:rsid w:val="00A14CB8"/>
    <w:rsid w:val="00A243B3"/>
    <w:rsid w:val="00A41294"/>
    <w:rsid w:val="00A460DD"/>
    <w:rsid w:val="00A616C3"/>
    <w:rsid w:val="00A647AE"/>
    <w:rsid w:val="00A65C7C"/>
    <w:rsid w:val="00A771A7"/>
    <w:rsid w:val="00AA1C46"/>
    <w:rsid w:val="00AA43B5"/>
    <w:rsid w:val="00AC4372"/>
    <w:rsid w:val="00AC7E07"/>
    <w:rsid w:val="00AD139A"/>
    <w:rsid w:val="00AD7563"/>
    <w:rsid w:val="00AE7FEA"/>
    <w:rsid w:val="00AF3D8D"/>
    <w:rsid w:val="00B068CF"/>
    <w:rsid w:val="00B07B34"/>
    <w:rsid w:val="00B16505"/>
    <w:rsid w:val="00B41B1B"/>
    <w:rsid w:val="00B64592"/>
    <w:rsid w:val="00B75FDD"/>
    <w:rsid w:val="00B9189A"/>
    <w:rsid w:val="00B975AC"/>
    <w:rsid w:val="00B97789"/>
    <w:rsid w:val="00BD1816"/>
    <w:rsid w:val="00BD3F67"/>
    <w:rsid w:val="00BD5F38"/>
    <w:rsid w:val="00BE35D9"/>
    <w:rsid w:val="00BE6230"/>
    <w:rsid w:val="00C06EF9"/>
    <w:rsid w:val="00C13177"/>
    <w:rsid w:val="00C15815"/>
    <w:rsid w:val="00C208D4"/>
    <w:rsid w:val="00C331C6"/>
    <w:rsid w:val="00C47C27"/>
    <w:rsid w:val="00C50E2A"/>
    <w:rsid w:val="00C55485"/>
    <w:rsid w:val="00C60798"/>
    <w:rsid w:val="00C626C6"/>
    <w:rsid w:val="00C74F90"/>
    <w:rsid w:val="00C75CBE"/>
    <w:rsid w:val="00CC7635"/>
    <w:rsid w:val="00CD2268"/>
    <w:rsid w:val="00CF3FF7"/>
    <w:rsid w:val="00CF7DCA"/>
    <w:rsid w:val="00D26C21"/>
    <w:rsid w:val="00D447D2"/>
    <w:rsid w:val="00D77D69"/>
    <w:rsid w:val="00D81A4B"/>
    <w:rsid w:val="00D82370"/>
    <w:rsid w:val="00D85EC2"/>
    <w:rsid w:val="00DA4D9D"/>
    <w:rsid w:val="00DC1ED5"/>
    <w:rsid w:val="00DD4D96"/>
    <w:rsid w:val="00E51A7F"/>
    <w:rsid w:val="00E5460E"/>
    <w:rsid w:val="00E56289"/>
    <w:rsid w:val="00E837F0"/>
    <w:rsid w:val="00E83DDC"/>
    <w:rsid w:val="00E97EF4"/>
    <w:rsid w:val="00EA0E75"/>
    <w:rsid w:val="00EC26A4"/>
    <w:rsid w:val="00ED3BED"/>
    <w:rsid w:val="00EE4B02"/>
    <w:rsid w:val="00EF6D17"/>
    <w:rsid w:val="00EF77AA"/>
    <w:rsid w:val="00F04E8F"/>
    <w:rsid w:val="00F05128"/>
    <w:rsid w:val="00F21D51"/>
    <w:rsid w:val="00F228DA"/>
    <w:rsid w:val="00F248F7"/>
    <w:rsid w:val="00F52B15"/>
    <w:rsid w:val="00F53500"/>
    <w:rsid w:val="00F53A13"/>
    <w:rsid w:val="00F60715"/>
    <w:rsid w:val="00F613A3"/>
    <w:rsid w:val="00F617A3"/>
    <w:rsid w:val="00F715BA"/>
    <w:rsid w:val="00F72B56"/>
    <w:rsid w:val="00F74486"/>
    <w:rsid w:val="00F75C63"/>
    <w:rsid w:val="00F76037"/>
    <w:rsid w:val="00F76712"/>
    <w:rsid w:val="00F8189B"/>
    <w:rsid w:val="00F97216"/>
    <w:rsid w:val="00FA40DD"/>
    <w:rsid w:val="00FA6C2B"/>
    <w:rsid w:val="00FB6ECC"/>
    <w:rsid w:val="00FD0208"/>
    <w:rsid w:val="00FD44BB"/>
    <w:rsid w:val="00FD645A"/>
    <w:rsid w:val="00FE0C41"/>
    <w:rsid w:val="00FF4435"/>
    <w:rsid w:val="17855A16"/>
    <w:rsid w:val="1FC5382E"/>
    <w:rsid w:val="2002072F"/>
    <w:rsid w:val="2860077D"/>
    <w:rsid w:val="29AF1F3C"/>
    <w:rsid w:val="41307F58"/>
    <w:rsid w:val="45EC5818"/>
    <w:rsid w:val="4C7A6BCD"/>
    <w:rsid w:val="53647A20"/>
    <w:rsid w:val="56F22457"/>
    <w:rsid w:val="59F9139D"/>
    <w:rsid w:val="60B775E7"/>
    <w:rsid w:val="60DE3EA6"/>
    <w:rsid w:val="648679D7"/>
    <w:rsid w:val="681C4015"/>
    <w:rsid w:val="6D805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1"/>
    <w:unhideWhenUsed/>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42"/>
    <w:unhideWhenUsed/>
    <w:qFormat/>
    <w:uiPriority w:val="0"/>
    <w:pPr>
      <w:keepNext/>
      <w:keepLines/>
      <w:spacing w:before="260" w:after="260" w:line="416" w:lineRule="auto"/>
      <w:outlineLvl w:val="2"/>
    </w:pPr>
    <w:rPr>
      <w:b/>
      <w:bCs/>
      <w:sz w:val="32"/>
      <w:szCs w:val="32"/>
    </w:rPr>
  </w:style>
  <w:style w:type="character" w:default="1" w:styleId="28">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Calibri" w:hAnsi="Calibri"/>
      <w:sz w:val="18"/>
      <w:szCs w:val="18"/>
    </w:rPr>
  </w:style>
  <w:style w:type="paragraph" w:styleId="6">
    <w:name w:val="Document Map"/>
    <w:basedOn w:val="1"/>
    <w:link w:val="52"/>
    <w:qFormat/>
    <w:uiPriority w:val="0"/>
    <w:pPr>
      <w:shd w:val="clear" w:color="auto" w:fill="000080"/>
    </w:pPr>
  </w:style>
  <w:style w:type="paragraph" w:styleId="7">
    <w:name w:val="annotation text"/>
    <w:basedOn w:val="1"/>
    <w:link w:val="49"/>
    <w:qFormat/>
    <w:uiPriority w:val="0"/>
    <w:pPr>
      <w:jc w:val="left"/>
    </w:pPr>
  </w:style>
  <w:style w:type="paragraph" w:styleId="8">
    <w:name w:val="Body Text"/>
    <w:basedOn w:val="1"/>
    <w:link w:val="53"/>
    <w:qFormat/>
    <w:uiPriority w:val="0"/>
    <w:pPr>
      <w:spacing w:after="120"/>
    </w:pPr>
  </w:style>
  <w:style w:type="paragraph" w:styleId="9">
    <w:name w:val="toc 5"/>
    <w:basedOn w:val="1"/>
    <w:next w:val="1"/>
    <w:unhideWhenUsed/>
    <w:qFormat/>
    <w:uiPriority w:val="39"/>
    <w:pPr>
      <w:ind w:left="840"/>
      <w:jc w:val="left"/>
    </w:pPr>
    <w:rPr>
      <w:rFonts w:ascii="Calibri" w:hAnsi="Calibri"/>
      <w:sz w:val="18"/>
      <w:szCs w:val="18"/>
    </w:rPr>
  </w:style>
  <w:style w:type="paragraph" w:styleId="10">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1">
    <w:name w:val="Plain Text"/>
    <w:basedOn w:val="1"/>
    <w:link w:val="54"/>
    <w:uiPriority w:val="0"/>
    <w:rPr>
      <w:rFonts w:ascii="宋体" w:hAnsi="Courier New"/>
      <w:szCs w:val="21"/>
    </w:rPr>
  </w:style>
  <w:style w:type="paragraph" w:styleId="12">
    <w:name w:val="toc 8"/>
    <w:basedOn w:val="1"/>
    <w:next w:val="1"/>
    <w:unhideWhenUsed/>
    <w:uiPriority w:val="39"/>
    <w:pPr>
      <w:ind w:left="1470"/>
      <w:jc w:val="left"/>
    </w:pPr>
    <w:rPr>
      <w:rFonts w:ascii="Calibri" w:hAnsi="Calibri"/>
      <w:sz w:val="18"/>
      <w:szCs w:val="18"/>
    </w:rPr>
  </w:style>
  <w:style w:type="paragraph" w:styleId="13">
    <w:name w:val="Date"/>
    <w:basedOn w:val="1"/>
    <w:next w:val="1"/>
    <w:link w:val="55"/>
    <w:qFormat/>
    <w:uiPriority w:val="0"/>
    <w:pPr>
      <w:ind w:left="100" w:leftChars="2500"/>
    </w:pPr>
  </w:style>
  <w:style w:type="paragraph" w:styleId="14">
    <w:name w:val="Balloon Text"/>
    <w:basedOn w:val="1"/>
    <w:link w:val="56"/>
    <w:qFormat/>
    <w:uiPriority w:val="0"/>
    <w:rPr>
      <w:sz w:val="18"/>
      <w:szCs w:val="18"/>
    </w:rPr>
  </w:style>
  <w:style w:type="paragraph" w:styleId="15">
    <w:name w:val="footer"/>
    <w:basedOn w:val="1"/>
    <w:link w:val="57"/>
    <w:qFormat/>
    <w:uiPriority w:val="0"/>
    <w:pPr>
      <w:tabs>
        <w:tab w:val="center" w:pos="4153"/>
        <w:tab w:val="right" w:pos="8306"/>
      </w:tabs>
      <w:snapToGrid w:val="0"/>
      <w:jc w:val="left"/>
    </w:pPr>
    <w:rPr>
      <w:sz w:val="18"/>
      <w:szCs w:val="18"/>
    </w:rPr>
  </w:style>
  <w:style w:type="paragraph" w:styleId="16">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18">
    <w:name w:val="toc 4"/>
    <w:basedOn w:val="1"/>
    <w:next w:val="1"/>
    <w:unhideWhenUsed/>
    <w:qFormat/>
    <w:uiPriority w:val="39"/>
    <w:pPr>
      <w:ind w:left="630"/>
      <w:jc w:val="left"/>
    </w:pPr>
    <w:rPr>
      <w:rFonts w:ascii="Calibri" w:hAnsi="Calibri"/>
      <w:sz w:val="18"/>
      <w:szCs w:val="18"/>
    </w:rPr>
  </w:style>
  <w:style w:type="paragraph" w:styleId="19">
    <w:name w:val="toc 6"/>
    <w:basedOn w:val="1"/>
    <w:next w:val="1"/>
    <w:unhideWhenUsed/>
    <w:qFormat/>
    <w:uiPriority w:val="39"/>
    <w:pPr>
      <w:ind w:left="1050"/>
      <w:jc w:val="left"/>
    </w:pPr>
    <w:rPr>
      <w:rFonts w:ascii="Calibri" w:hAnsi="Calibri"/>
      <w:sz w:val="18"/>
      <w:szCs w:val="18"/>
    </w:rPr>
  </w:style>
  <w:style w:type="paragraph" w:styleId="20">
    <w:name w:val="Body Text Indent 3"/>
    <w:basedOn w:val="1"/>
    <w:link w:val="58"/>
    <w:qFormat/>
    <w:uiPriority w:val="0"/>
    <w:pPr>
      <w:spacing w:after="120"/>
      <w:ind w:left="420" w:leftChars="200"/>
    </w:pPr>
    <w:rPr>
      <w:sz w:val="16"/>
      <w:szCs w:val="16"/>
    </w:rPr>
  </w:style>
  <w:style w:type="paragraph" w:styleId="21">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22">
    <w:name w:val="toc 9"/>
    <w:basedOn w:val="1"/>
    <w:next w:val="1"/>
    <w:unhideWhenUsed/>
    <w:uiPriority w:val="39"/>
    <w:pPr>
      <w:ind w:left="1680"/>
      <w:jc w:val="left"/>
    </w:pPr>
    <w:rPr>
      <w:rFonts w:ascii="Calibri" w:hAnsi="Calibri"/>
      <w:sz w:val="18"/>
      <w:szCs w:val="18"/>
    </w:rPr>
  </w:style>
  <w:style w:type="paragraph" w:styleId="23">
    <w:name w:val="HTML Preformatted"/>
    <w:basedOn w:val="1"/>
    <w:link w:val="5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annotation subject"/>
    <w:basedOn w:val="7"/>
    <w:next w:val="7"/>
    <w:link w:val="60"/>
    <w:uiPriority w:val="0"/>
    <w:rPr>
      <w:b/>
      <w:bCs/>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page number"/>
    <w:qFormat/>
    <w:uiPriority w:val="0"/>
  </w:style>
  <w:style w:type="character" w:styleId="31">
    <w:name w:val="FollowedHyperlink"/>
    <w:qFormat/>
    <w:uiPriority w:val="99"/>
    <w:rPr>
      <w:color w:val="954F72"/>
      <w:u w:val="single"/>
    </w:rPr>
  </w:style>
  <w:style w:type="character" w:styleId="32">
    <w:name w:val="Hyperlink"/>
    <w:qFormat/>
    <w:uiPriority w:val="99"/>
    <w:rPr>
      <w:color w:val="136EC2"/>
      <w:u w:val="single"/>
    </w:rPr>
  </w:style>
  <w:style w:type="character" w:styleId="33">
    <w:name w:val="annotation reference"/>
    <w:qFormat/>
    <w:uiPriority w:val="0"/>
    <w:rPr>
      <w:sz w:val="21"/>
      <w:szCs w:val="21"/>
    </w:rPr>
  </w:style>
  <w:style w:type="paragraph" w:customStyle="1" w:styleId="34">
    <w:name w:val="文"/>
    <w:basedOn w:val="1"/>
    <w:link w:val="47"/>
    <w:qFormat/>
    <w:uiPriority w:val="0"/>
    <w:pPr>
      <w:spacing w:line="300" w:lineRule="auto"/>
      <w:ind w:firstLine="480" w:firstLineChars="200"/>
    </w:pPr>
    <w:rPr>
      <w:rFonts w:hAnsi="宋体"/>
      <w:sz w:val="24"/>
    </w:rPr>
  </w:style>
  <w:style w:type="paragraph" w:customStyle="1" w:styleId="35">
    <w:name w:val="表内容"/>
    <w:basedOn w:val="1"/>
    <w:qFormat/>
    <w:uiPriority w:val="0"/>
    <w:pPr>
      <w:adjustRightInd w:val="0"/>
      <w:snapToGrid w:val="0"/>
      <w:spacing w:line="310" w:lineRule="atLeast"/>
      <w:jc w:val="center"/>
    </w:pPr>
    <w:rPr>
      <w:sz w:val="18"/>
      <w:szCs w:val="20"/>
    </w:rPr>
  </w:style>
  <w:style w:type="paragraph" w:customStyle="1" w:styleId="36">
    <w:name w:val="节"/>
    <w:basedOn w:val="1"/>
    <w:qFormat/>
    <w:uiPriority w:val="0"/>
    <w:pPr>
      <w:tabs>
        <w:tab w:val="left" w:pos="540"/>
      </w:tabs>
      <w:adjustRightInd w:val="0"/>
      <w:snapToGrid w:val="0"/>
      <w:spacing w:line="300" w:lineRule="auto"/>
      <w:jc w:val="left"/>
      <w:outlineLvl w:val="1"/>
    </w:pPr>
    <w:rPr>
      <w:rFonts w:eastAsia="黑体"/>
      <w:sz w:val="32"/>
      <w:szCs w:val="20"/>
    </w:rPr>
  </w:style>
  <w:style w:type="paragraph" w:customStyle="1" w:styleId="37">
    <w:name w:val="Char"/>
    <w:basedOn w:val="1"/>
    <w:qFormat/>
    <w:uiPriority w:val="0"/>
  </w:style>
  <w:style w:type="paragraph" w:customStyle="1" w:styleId="38">
    <w:name w:val="标题5"/>
    <w:basedOn w:val="1"/>
    <w:qFormat/>
    <w:uiPriority w:val="0"/>
    <w:pPr>
      <w:adjustRightInd w:val="0"/>
      <w:snapToGrid w:val="0"/>
      <w:spacing w:line="310" w:lineRule="atLeast"/>
      <w:ind w:firstLine="425"/>
    </w:pPr>
    <w:rPr>
      <w:rFonts w:ascii="Arial" w:hAnsi="Arial" w:eastAsia="黑体"/>
      <w:szCs w:val="20"/>
    </w:rPr>
  </w:style>
  <w:style w:type="paragraph" w:customStyle="1" w:styleId="39">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character" w:customStyle="1" w:styleId="40">
    <w:name w:val="标题 1 字符"/>
    <w:link w:val="2"/>
    <w:uiPriority w:val="0"/>
    <w:rPr>
      <w:b/>
      <w:bCs/>
      <w:kern w:val="44"/>
      <w:sz w:val="44"/>
      <w:szCs w:val="44"/>
    </w:rPr>
  </w:style>
  <w:style w:type="character" w:customStyle="1" w:styleId="41">
    <w:name w:val="标题 2 字符"/>
    <w:link w:val="3"/>
    <w:qFormat/>
    <w:uiPriority w:val="0"/>
    <w:rPr>
      <w:rFonts w:ascii="Calibri Light" w:hAnsi="Calibri Light" w:eastAsia="宋体" w:cs="Times New Roman"/>
      <w:b/>
      <w:bCs/>
      <w:kern w:val="2"/>
      <w:sz w:val="32"/>
      <w:szCs w:val="32"/>
    </w:rPr>
  </w:style>
  <w:style w:type="character" w:customStyle="1" w:styleId="42">
    <w:name w:val="标题 3 字符"/>
    <w:link w:val="4"/>
    <w:qFormat/>
    <w:uiPriority w:val="0"/>
    <w:rPr>
      <w:b/>
      <w:bCs/>
      <w:kern w:val="2"/>
      <w:sz w:val="32"/>
      <w:szCs w:val="32"/>
    </w:rPr>
  </w:style>
  <w:style w:type="paragraph" w:customStyle="1" w:styleId="43">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4">
    <w:name w:val="样式1"/>
    <w:basedOn w:val="4"/>
    <w:link w:val="46"/>
    <w:qFormat/>
    <w:uiPriority w:val="99"/>
    <w:pPr>
      <w:spacing w:line="415" w:lineRule="auto"/>
      <w:ind w:firstLine="200" w:firstLineChars="200"/>
    </w:pPr>
    <w:rPr>
      <w:rFonts w:ascii="楷体_GB2312" w:eastAsia="楷体_GB2312"/>
      <w:b w:val="0"/>
      <w:color w:val="000000"/>
      <w:sz w:val="24"/>
    </w:rPr>
  </w:style>
  <w:style w:type="paragraph" w:customStyle="1" w:styleId="45">
    <w:name w:val="样式2"/>
    <w:basedOn w:val="34"/>
    <w:link w:val="48"/>
    <w:qFormat/>
    <w:uiPriority w:val="99"/>
    <w:pPr>
      <w:spacing w:line="440" w:lineRule="exact"/>
      <w:ind w:firstLine="472" w:firstLineChars="196"/>
      <w:outlineLvl w:val="3"/>
    </w:pPr>
    <w:rPr>
      <w:rFonts w:ascii="楷体_GB2312" w:eastAsia="楷体_GB2312"/>
      <w:b/>
    </w:rPr>
  </w:style>
  <w:style w:type="character" w:customStyle="1" w:styleId="46">
    <w:name w:val="样式1 Char"/>
    <w:link w:val="44"/>
    <w:qFormat/>
    <w:uiPriority w:val="99"/>
    <w:rPr>
      <w:rFonts w:ascii="楷体_GB2312" w:eastAsia="楷体_GB2312"/>
      <w:bCs/>
      <w:color w:val="000000"/>
      <w:kern w:val="2"/>
      <w:sz w:val="24"/>
      <w:szCs w:val="32"/>
    </w:rPr>
  </w:style>
  <w:style w:type="character" w:customStyle="1" w:styleId="47">
    <w:name w:val="文 Char"/>
    <w:link w:val="34"/>
    <w:qFormat/>
    <w:uiPriority w:val="0"/>
    <w:rPr>
      <w:rFonts w:hAnsi="宋体"/>
      <w:kern w:val="2"/>
      <w:sz w:val="24"/>
      <w:szCs w:val="24"/>
    </w:rPr>
  </w:style>
  <w:style w:type="character" w:customStyle="1" w:styleId="48">
    <w:name w:val="样式2 Char"/>
    <w:link w:val="45"/>
    <w:qFormat/>
    <w:uiPriority w:val="99"/>
    <w:rPr>
      <w:rFonts w:ascii="楷体_GB2312" w:hAnsi="宋体" w:eastAsia="楷体_GB2312"/>
      <w:b/>
      <w:kern w:val="2"/>
      <w:sz w:val="24"/>
      <w:szCs w:val="24"/>
    </w:rPr>
  </w:style>
  <w:style w:type="character" w:customStyle="1" w:styleId="49">
    <w:name w:val="批注文字 字符"/>
    <w:link w:val="7"/>
    <w:qFormat/>
    <w:uiPriority w:val="0"/>
    <w:rPr>
      <w:kern w:val="2"/>
      <w:sz w:val="21"/>
      <w:szCs w:val="24"/>
    </w:rPr>
  </w:style>
  <w:style w:type="paragraph" w:customStyle="1" w:styleId="50">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51">
    <w:name w:val="页眉 字符"/>
    <w:link w:val="16"/>
    <w:qFormat/>
    <w:uiPriority w:val="0"/>
    <w:rPr>
      <w:kern w:val="2"/>
      <w:sz w:val="18"/>
      <w:szCs w:val="18"/>
    </w:rPr>
  </w:style>
  <w:style w:type="character" w:customStyle="1" w:styleId="52">
    <w:name w:val="文档结构图 字符"/>
    <w:basedOn w:val="28"/>
    <w:link w:val="6"/>
    <w:qFormat/>
    <w:uiPriority w:val="0"/>
    <w:rPr>
      <w:kern w:val="2"/>
      <w:sz w:val="21"/>
      <w:szCs w:val="24"/>
      <w:shd w:val="clear" w:color="auto" w:fill="000080"/>
    </w:rPr>
  </w:style>
  <w:style w:type="character" w:customStyle="1" w:styleId="53">
    <w:name w:val="正文文本 字符"/>
    <w:basedOn w:val="28"/>
    <w:link w:val="8"/>
    <w:qFormat/>
    <w:uiPriority w:val="0"/>
    <w:rPr>
      <w:kern w:val="2"/>
      <w:sz w:val="21"/>
      <w:szCs w:val="24"/>
    </w:rPr>
  </w:style>
  <w:style w:type="character" w:customStyle="1" w:styleId="54">
    <w:name w:val="纯文本 字符"/>
    <w:basedOn w:val="28"/>
    <w:link w:val="11"/>
    <w:qFormat/>
    <w:uiPriority w:val="0"/>
    <w:rPr>
      <w:rFonts w:ascii="宋体" w:hAnsi="Courier New"/>
      <w:kern w:val="2"/>
      <w:sz w:val="21"/>
      <w:szCs w:val="21"/>
    </w:rPr>
  </w:style>
  <w:style w:type="character" w:customStyle="1" w:styleId="55">
    <w:name w:val="日期 字符"/>
    <w:basedOn w:val="28"/>
    <w:link w:val="13"/>
    <w:qFormat/>
    <w:uiPriority w:val="0"/>
    <w:rPr>
      <w:kern w:val="2"/>
      <w:sz w:val="21"/>
      <w:szCs w:val="24"/>
    </w:rPr>
  </w:style>
  <w:style w:type="character" w:customStyle="1" w:styleId="56">
    <w:name w:val="批注框文本 字符"/>
    <w:link w:val="14"/>
    <w:qFormat/>
    <w:uiPriority w:val="0"/>
    <w:rPr>
      <w:kern w:val="2"/>
      <w:sz w:val="18"/>
      <w:szCs w:val="18"/>
    </w:rPr>
  </w:style>
  <w:style w:type="character" w:customStyle="1" w:styleId="57">
    <w:name w:val="页脚 字符"/>
    <w:link w:val="15"/>
    <w:qFormat/>
    <w:uiPriority w:val="0"/>
    <w:rPr>
      <w:kern w:val="2"/>
      <w:sz w:val="18"/>
      <w:szCs w:val="18"/>
    </w:rPr>
  </w:style>
  <w:style w:type="character" w:customStyle="1" w:styleId="58">
    <w:name w:val="正文文本缩进 3 字符"/>
    <w:basedOn w:val="28"/>
    <w:link w:val="20"/>
    <w:qFormat/>
    <w:uiPriority w:val="0"/>
    <w:rPr>
      <w:kern w:val="2"/>
      <w:sz w:val="16"/>
      <w:szCs w:val="16"/>
    </w:rPr>
  </w:style>
  <w:style w:type="character" w:customStyle="1" w:styleId="59">
    <w:name w:val="HTML 预设格式 字符"/>
    <w:basedOn w:val="28"/>
    <w:link w:val="23"/>
    <w:qFormat/>
    <w:uiPriority w:val="0"/>
    <w:rPr>
      <w:rFonts w:ascii="宋体" w:hAnsi="宋体"/>
      <w:sz w:val="24"/>
      <w:szCs w:val="24"/>
    </w:rPr>
  </w:style>
  <w:style w:type="character" w:customStyle="1" w:styleId="60">
    <w:name w:val="批注主题 字符"/>
    <w:basedOn w:val="49"/>
    <w:link w:val="25"/>
    <w:uiPriority w:val="0"/>
    <w:rPr>
      <w:b/>
      <w:bCs/>
      <w:kern w:val="2"/>
      <w:sz w:val="21"/>
      <w:szCs w:val="24"/>
    </w:rPr>
  </w:style>
  <w:style w:type="character" w:customStyle="1" w:styleId="61">
    <w:name w:val="neirong Char"/>
    <w:link w:val="62"/>
    <w:qFormat/>
    <w:uiPriority w:val="0"/>
    <w:rPr>
      <w:rFonts w:ascii="仿宋_GB2312" w:hAnsi="仿宋_GB2312" w:eastAsia="仿宋_GB2312" w:cs="宋体"/>
      <w:kern w:val="2"/>
      <w:sz w:val="28"/>
      <w:szCs w:val="28"/>
    </w:rPr>
  </w:style>
  <w:style w:type="paragraph" w:customStyle="1" w:styleId="62">
    <w:name w:val="neirong"/>
    <w:basedOn w:val="1"/>
    <w:link w:val="61"/>
    <w:qFormat/>
    <w:uiPriority w:val="0"/>
    <w:pPr>
      <w:spacing w:line="360" w:lineRule="auto"/>
      <w:ind w:firstLine="200" w:firstLineChars="200"/>
    </w:pPr>
    <w:rPr>
      <w:rFonts w:ascii="仿宋_GB2312" w:hAnsi="仿宋_GB2312" w:eastAsia="仿宋_GB2312" w:cs="宋体"/>
      <w:sz w:val="28"/>
      <w:szCs w:val="28"/>
    </w:rPr>
  </w:style>
  <w:style w:type="character" w:customStyle="1" w:styleId="63">
    <w:name w:val="z-窗体顶端 字符"/>
    <w:link w:val="64"/>
    <w:qFormat/>
    <w:uiPriority w:val="0"/>
    <w:rPr>
      <w:rFonts w:ascii="Arial" w:hAnsi="Arial" w:cs="Arial"/>
      <w:vanish/>
      <w:sz w:val="16"/>
      <w:szCs w:val="16"/>
    </w:rPr>
  </w:style>
  <w:style w:type="paragraph" w:customStyle="1" w:styleId="64">
    <w:name w:val="HTML Top of Form"/>
    <w:basedOn w:val="1"/>
    <w:next w:val="1"/>
    <w:link w:val="63"/>
    <w:qFormat/>
    <w:uiPriority w:val="0"/>
    <w:pPr>
      <w:widowControl/>
      <w:pBdr>
        <w:bottom w:val="single" w:color="auto" w:sz="6" w:space="1"/>
      </w:pBdr>
      <w:jc w:val="center"/>
    </w:pPr>
    <w:rPr>
      <w:rFonts w:ascii="Arial" w:hAnsi="Arial" w:cs="Arial"/>
      <w:vanish/>
      <w:kern w:val="0"/>
      <w:sz w:val="16"/>
      <w:szCs w:val="16"/>
    </w:rPr>
  </w:style>
  <w:style w:type="character" w:customStyle="1" w:styleId="65">
    <w:name w:val="z-窗体顶端 字符1"/>
    <w:basedOn w:val="28"/>
    <w:semiHidden/>
    <w:qFormat/>
    <w:uiPriority w:val="99"/>
    <w:rPr>
      <w:rFonts w:ascii="Arial" w:hAnsi="Arial" w:cs="Arial"/>
      <w:vanish/>
      <w:kern w:val="2"/>
      <w:sz w:val="16"/>
      <w:szCs w:val="16"/>
    </w:rPr>
  </w:style>
  <w:style w:type="character" w:customStyle="1" w:styleId="66">
    <w:name w:val="Unresolved Mention"/>
    <w:unhideWhenUsed/>
    <w:qFormat/>
    <w:uiPriority w:val="99"/>
    <w:rPr>
      <w:color w:val="605E5C"/>
      <w:shd w:val="clear" w:color="auto" w:fill="E1DFDD"/>
    </w:rPr>
  </w:style>
  <w:style w:type="character" w:customStyle="1" w:styleId="67">
    <w:name w:val="bold1"/>
    <w:qFormat/>
    <w:uiPriority w:val="99"/>
    <w:rPr>
      <w:rFonts w:cs="Times New Roman"/>
      <w:b/>
      <w:bCs/>
    </w:rPr>
  </w:style>
  <w:style w:type="character" w:customStyle="1" w:styleId="68">
    <w:name w:val="opt"/>
    <w:qFormat/>
    <w:uiPriority w:val="0"/>
  </w:style>
  <w:style w:type="character" w:customStyle="1" w:styleId="69">
    <w:name w:val="正文加粗 Char"/>
    <w:link w:val="70"/>
    <w:qFormat/>
    <w:uiPriority w:val="0"/>
    <w:rPr>
      <w:rFonts w:ascii="宋体" w:hAnsi="宋体"/>
      <w:b/>
      <w:kern w:val="2"/>
      <w:sz w:val="28"/>
      <w:szCs w:val="24"/>
    </w:rPr>
  </w:style>
  <w:style w:type="paragraph" w:customStyle="1" w:styleId="70">
    <w:name w:val="正文加粗"/>
    <w:basedOn w:val="1"/>
    <w:link w:val="69"/>
    <w:qFormat/>
    <w:uiPriority w:val="0"/>
    <w:pPr>
      <w:spacing w:line="560" w:lineRule="exact"/>
      <w:ind w:firstLine="200" w:firstLineChars="200"/>
    </w:pPr>
    <w:rPr>
      <w:rFonts w:ascii="宋体" w:hAnsi="宋体"/>
      <w:b/>
      <w:sz w:val="28"/>
    </w:rPr>
  </w:style>
  <w:style w:type="character" w:customStyle="1" w:styleId="71">
    <w:name w:val="二级标题 Char"/>
    <w:link w:val="72"/>
    <w:qFormat/>
    <w:uiPriority w:val="99"/>
    <w:rPr>
      <w:rFonts w:ascii="黑体" w:eastAsia="黑体"/>
      <w:b/>
      <w:color w:val="000000"/>
      <w:kern w:val="2"/>
      <w:sz w:val="24"/>
      <w:szCs w:val="24"/>
    </w:rPr>
  </w:style>
  <w:style w:type="paragraph" w:customStyle="1" w:styleId="72">
    <w:name w:val="二级标题"/>
    <w:basedOn w:val="1"/>
    <w:link w:val="71"/>
    <w:qFormat/>
    <w:uiPriority w:val="99"/>
    <w:pPr>
      <w:spacing w:line="440" w:lineRule="exact"/>
      <w:ind w:firstLine="472" w:firstLineChars="196"/>
    </w:pPr>
    <w:rPr>
      <w:rFonts w:ascii="黑体" w:eastAsia="黑体"/>
      <w:b/>
      <w:color w:val="000000"/>
      <w:sz w:val="24"/>
    </w:rPr>
  </w:style>
  <w:style w:type="character" w:customStyle="1" w:styleId="73">
    <w:name w:val="headline-content2"/>
    <w:qFormat/>
    <w:uiPriority w:val="0"/>
  </w:style>
  <w:style w:type="character" w:customStyle="1" w:styleId="74">
    <w:name w:val="apple-style-span"/>
    <w:qFormat/>
    <w:uiPriority w:val="0"/>
  </w:style>
  <w:style w:type="character" w:customStyle="1" w:styleId="75">
    <w:name w:val="一级标题 Char"/>
    <w:link w:val="76"/>
    <w:uiPriority w:val="99"/>
    <w:rPr>
      <w:rFonts w:ascii="黑体" w:eastAsia="黑体"/>
      <w:b/>
      <w:color w:val="000000"/>
      <w:kern w:val="2"/>
      <w:sz w:val="28"/>
      <w:szCs w:val="28"/>
    </w:rPr>
  </w:style>
  <w:style w:type="paragraph" w:customStyle="1" w:styleId="76">
    <w:name w:val="一级标题"/>
    <w:basedOn w:val="1"/>
    <w:link w:val="75"/>
    <w:qFormat/>
    <w:uiPriority w:val="99"/>
    <w:pPr>
      <w:spacing w:line="360" w:lineRule="auto"/>
      <w:jc w:val="center"/>
    </w:pPr>
    <w:rPr>
      <w:rFonts w:ascii="黑体" w:eastAsia="黑体"/>
      <w:b/>
      <w:color w:val="000000"/>
      <w:sz w:val="28"/>
      <w:szCs w:val="28"/>
    </w:rPr>
  </w:style>
  <w:style w:type="character" w:customStyle="1" w:styleId="77">
    <w:name w:val="自定义正文 Char"/>
    <w:link w:val="78"/>
    <w:qFormat/>
    <w:uiPriority w:val="0"/>
    <w:rPr>
      <w:rFonts w:ascii="宋体" w:hAnsi="宋体"/>
      <w:b/>
      <w:bCs/>
      <w:color w:val="000000"/>
      <w:kern w:val="2"/>
      <w:sz w:val="24"/>
      <w:szCs w:val="24"/>
    </w:rPr>
  </w:style>
  <w:style w:type="paragraph" w:customStyle="1" w:styleId="78">
    <w:name w:val="自定义正文"/>
    <w:basedOn w:val="1"/>
    <w:next w:val="1"/>
    <w:link w:val="77"/>
    <w:qFormat/>
    <w:uiPriority w:val="0"/>
    <w:pPr>
      <w:widowControl/>
      <w:spacing w:line="560" w:lineRule="exact"/>
      <w:ind w:firstLine="482" w:firstLineChars="200"/>
      <w:jc w:val="center"/>
    </w:pPr>
    <w:rPr>
      <w:rFonts w:ascii="宋体" w:hAnsi="宋体"/>
      <w:b/>
      <w:bCs/>
      <w:color w:val="000000"/>
      <w:sz w:val="24"/>
    </w:rPr>
  </w:style>
  <w:style w:type="character" w:customStyle="1" w:styleId="79">
    <w:name w:val="三级标题 Char"/>
    <w:link w:val="80"/>
    <w:qFormat/>
    <w:uiPriority w:val="99"/>
    <w:rPr>
      <w:rFonts w:ascii="楷体_GB2312" w:eastAsia="楷体_GB2312"/>
      <w:b/>
      <w:color w:val="000000"/>
      <w:kern w:val="2"/>
      <w:sz w:val="24"/>
      <w:szCs w:val="24"/>
    </w:rPr>
  </w:style>
  <w:style w:type="paragraph" w:customStyle="1" w:styleId="80">
    <w:name w:val="三级标题"/>
    <w:basedOn w:val="1"/>
    <w:link w:val="79"/>
    <w:qFormat/>
    <w:uiPriority w:val="99"/>
    <w:pPr>
      <w:spacing w:line="440" w:lineRule="exact"/>
      <w:ind w:firstLine="482" w:firstLineChars="200"/>
    </w:pPr>
    <w:rPr>
      <w:rFonts w:ascii="楷体_GB2312" w:eastAsia="楷体_GB2312"/>
      <w:b/>
      <w:color w:val="000000"/>
      <w:sz w:val="24"/>
    </w:rPr>
  </w:style>
  <w:style w:type="character" w:customStyle="1" w:styleId="81">
    <w:name w:val="纯文本 Char1"/>
    <w:qFormat/>
    <w:uiPriority w:val="0"/>
    <w:rPr>
      <w:rFonts w:ascii="宋体" w:hAnsi="Courier New" w:cs="Courier New"/>
      <w:kern w:val="2"/>
      <w:sz w:val="21"/>
      <w:szCs w:val="21"/>
    </w:rPr>
  </w:style>
  <w:style w:type="paragraph" w:customStyle="1" w:styleId="82">
    <w:name w:val="目次、标准名称标题"/>
    <w:basedOn w:val="83"/>
    <w:next w:val="84"/>
    <w:qFormat/>
    <w:uiPriority w:val="0"/>
    <w:pPr>
      <w:numPr>
        <w:ilvl w:val="0"/>
        <w:numId w:val="0"/>
      </w:numPr>
      <w:spacing w:line="460" w:lineRule="exact"/>
    </w:pPr>
  </w:style>
  <w:style w:type="paragraph" w:customStyle="1" w:styleId="8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5">
    <w:name w:val="章标题"/>
    <w:next w:val="84"/>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86">
    <w:name w:val="三级条标题"/>
    <w:basedOn w:val="87"/>
    <w:next w:val="84"/>
    <w:qFormat/>
    <w:uiPriority w:val="0"/>
    <w:pPr>
      <w:numPr>
        <w:ilvl w:val="4"/>
      </w:numPr>
      <w:outlineLvl w:val="4"/>
    </w:pPr>
  </w:style>
  <w:style w:type="paragraph" w:customStyle="1" w:styleId="87">
    <w:name w:val="二级条标题"/>
    <w:basedOn w:val="88"/>
    <w:next w:val="84"/>
    <w:qFormat/>
    <w:uiPriority w:val="0"/>
    <w:pPr>
      <w:numPr>
        <w:ilvl w:val="3"/>
      </w:numPr>
      <w:outlineLvl w:val="3"/>
    </w:pPr>
  </w:style>
  <w:style w:type="paragraph" w:customStyle="1" w:styleId="88">
    <w:name w:val="一级条标题"/>
    <w:basedOn w:val="85"/>
    <w:next w:val="84"/>
    <w:qFormat/>
    <w:uiPriority w:val="0"/>
    <w:pPr>
      <w:numPr>
        <w:ilvl w:val="2"/>
      </w:numPr>
      <w:spacing w:before="0" w:beforeLines="0" w:after="0" w:afterLines="0"/>
      <w:outlineLvl w:val="2"/>
    </w:pPr>
  </w:style>
  <w:style w:type="paragraph" w:customStyle="1" w:styleId="89">
    <w:name w:val="_Style 1"/>
    <w:basedOn w:val="1"/>
    <w:qFormat/>
    <w:uiPriority w:val="99"/>
    <w:pPr>
      <w:ind w:firstLine="420" w:firstLineChars="200"/>
    </w:pPr>
    <w:rPr>
      <w:rFonts w:ascii="Calibri" w:hAnsi="Calibri"/>
    </w:rPr>
  </w:style>
  <w:style w:type="paragraph" w:customStyle="1" w:styleId="90">
    <w:name w:val="赵永光正文"/>
    <w:basedOn w:val="1"/>
    <w:next w:val="1"/>
    <w:qFormat/>
    <w:uiPriority w:val="0"/>
    <w:pPr>
      <w:widowControl/>
      <w:jc w:val="center"/>
      <w:outlineLvl w:val="1"/>
    </w:pPr>
    <w:rPr>
      <w:rFonts w:ascii="黑体" w:hAnsi="黑体" w:eastAsia="黑体"/>
      <w:b/>
      <w:sz w:val="28"/>
      <w:szCs w:val="28"/>
    </w:rPr>
  </w:style>
  <w:style w:type="paragraph" w:customStyle="1" w:styleId="91">
    <w:name w:val="样式 二级条标题 + 宋体 左"/>
    <w:basedOn w:val="87"/>
    <w:qFormat/>
    <w:uiPriority w:val="0"/>
    <w:pPr>
      <w:jc w:val="left"/>
    </w:pPr>
    <w:rPr>
      <w:rFonts w:ascii="宋体" w:eastAsia="宋体" w:cs="宋体"/>
    </w:rPr>
  </w:style>
  <w:style w:type="paragraph" w:styleId="92">
    <w:name w:val="List Paragraph"/>
    <w:basedOn w:val="1"/>
    <w:qFormat/>
    <w:uiPriority w:val="34"/>
    <w:pPr>
      <w:ind w:firstLine="420" w:firstLineChars="200"/>
    </w:pPr>
  </w:style>
  <w:style w:type="paragraph" w:customStyle="1" w:styleId="93">
    <w:name w:val="Normal (Web)1"/>
    <w:basedOn w:val="1"/>
    <w:qFormat/>
    <w:uiPriority w:val="99"/>
    <w:pPr>
      <w:widowControl/>
      <w:spacing w:beforeAutospacing="1" w:afterAutospacing="1"/>
      <w:jc w:val="left"/>
    </w:pPr>
    <w:rPr>
      <w:rFonts w:ascii="宋体" w:hAnsi="宋体" w:cs="宋体"/>
      <w:kern w:val="0"/>
      <w:sz w:val="24"/>
    </w:rPr>
  </w:style>
  <w:style w:type="paragraph" w:customStyle="1" w:styleId="94">
    <w:name w:val=" Char"/>
    <w:basedOn w:val="1"/>
    <w:qFormat/>
    <w:uiPriority w:val="0"/>
  </w:style>
  <w:style w:type="paragraph" w:customStyle="1" w:styleId="95">
    <w:name w:val="List Paragraph1"/>
    <w:basedOn w:val="1"/>
    <w:unhideWhenUsed/>
    <w:qFormat/>
    <w:uiPriority w:val="99"/>
    <w:pPr>
      <w:ind w:firstLine="420" w:firstLineChars="200"/>
    </w:pPr>
  </w:style>
  <w:style w:type="paragraph" w:customStyle="1" w:styleId="96">
    <w:name w:val="普通(网站)1"/>
    <w:basedOn w:val="1"/>
    <w:qFormat/>
    <w:uiPriority w:val="0"/>
    <w:pPr>
      <w:widowControl/>
      <w:spacing w:beforeAutospacing="1" w:afterAutospacing="1"/>
      <w:jc w:val="left"/>
    </w:pPr>
    <w:rPr>
      <w:rFonts w:ascii="宋体" w:hAnsi="宋体" w:cs="宋体"/>
      <w:kern w:val="0"/>
      <w:sz w:val="24"/>
    </w:rPr>
  </w:style>
  <w:style w:type="paragraph" w:customStyle="1" w:styleId="97">
    <w:name w:val="四级条标题"/>
    <w:basedOn w:val="86"/>
    <w:next w:val="84"/>
    <w:qFormat/>
    <w:uiPriority w:val="0"/>
    <w:pPr>
      <w:numPr>
        <w:ilvl w:val="5"/>
      </w:numPr>
      <w:outlineLvl w:val="5"/>
    </w:pPr>
  </w:style>
  <w:style w:type="paragraph" w:customStyle="1" w:styleId="98">
    <w:name w:val="五级条标题"/>
    <w:basedOn w:val="97"/>
    <w:next w:val="84"/>
    <w:qFormat/>
    <w:uiPriority w:val="0"/>
    <w:pPr>
      <w:numPr>
        <w:ilvl w:val="6"/>
      </w:numPr>
      <w:outlineLvl w:val="6"/>
    </w:pPr>
  </w:style>
  <w:style w:type="paragraph" w:customStyle="1" w:styleId="99">
    <w:name w:val="Char Char"/>
    <w:basedOn w:val="1"/>
    <w:qFormat/>
    <w:uiPriority w:val="0"/>
  </w:style>
  <w:style w:type="paragraph" w:customStyle="1" w:styleId="100">
    <w:name w:val="表"/>
    <w:basedOn w:val="1"/>
    <w:qFormat/>
    <w:uiPriority w:val="0"/>
    <w:pPr>
      <w:spacing w:line="180" w:lineRule="atLeast"/>
      <w:jc w:val="left"/>
    </w:pPr>
    <w:rPr>
      <w:rFonts w:ascii="宋体" w:hAnsi="宋体"/>
      <w:szCs w:val="21"/>
    </w:rPr>
  </w:style>
  <w:style w:type="paragraph" w:customStyle="1" w:styleId="101">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102">
    <w:name w:val="xl30"/>
    <w:basedOn w:val="1"/>
    <w:qFormat/>
    <w:uiPriority w:val="0"/>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103">
    <w:name w:val="三级"/>
    <w:basedOn w:val="1"/>
    <w:qFormat/>
    <w:uiPriority w:val="0"/>
    <w:pPr>
      <w:spacing w:line="440" w:lineRule="exact"/>
      <w:ind w:firstLine="482" w:firstLineChars="200"/>
    </w:pPr>
    <w:rPr>
      <w:rFonts w:ascii="楷体_GB2312" w:hAnsi="Calibri" w:eastAsia="楷体_GB2312"/>
      <w:b/>
      <w:color w:val="000000"/>
      <w:sz w:val="24"/>
    </w:rPr>
  </w:style>
  <w:style w:type="table" w:customStyle="1" w:styleId="104">
    <w:name w:val="网格型1"/>
    <w:basedOn w:val="2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6EDFB-4954-41A5-A5DF-7ED94B122B6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54</Pages>
  <Words>6350</Words>
  <Characters>36201</Characters>
  <Lines>301</Lines>
  <Paragraphs>84</Paragraphs>
  <TotalTime>0</TotalTime>
  <ScaleCrop>false</ScaleCrop>
  <LinksUpToDate>false</LinksUpToDate>
  <CharactersWithSpaces>42467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2021-06-24T03:00:00Z</dcterms:created>
  <dc:creator>吕海龙</dc:creator>
  <cp:lastModifiedBy>芝士就是力量吖_</cp:lastModifiedBy>
  <cp:lastPrinted>2021-05-19T02:56:00Z</cp:lastPrinted>
  <dcterms:modified xsi:type="dcterms:W3CDTF">2021-08-01T03:07:09Z</dcterms:modified>
  <dc:title>物流管理专业2011级人才培养方案</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0316D84726C742D9962B1C82FB4AA651</vt:lpwstr>
  </property>
</Properties>
</file>